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napToGrid w:val="false"/>
        <w:spacing w:before="180" w:after="0"/>
        <w:jc w:val="center"/>
        <w:rPr>
          <w:rFonts w:ascii="標楷體" w:hAnsi="標楷體" w:eastAsia="標楷體"/>
          <w:sz w:val="32"/>
          <w:szCs w:val="32"/>
        </w:rPr>
      </w:pPr>
      <w:r>
        <w:rPr>
          <w:rFonts w:ascii="標楷體" w:hAnsi="標楷體" w:eastAsia="標楷體"/>
          <w:sz w:val="32"/>
          <w:szCs w:val="32"/>
        </w:rPr>
        <w:t>教育部普通型高級中等學校課程物理學科中心</w:t>
      </w:r>
    </w:p>
    <w:p>
      <w:pPr>
        <w:pStyle w:val="Style21"/>
        <w:spacing w:lineRule="atLeast" w:line="240"/>
        <w:jc w:val="center"/>
        <w:rPr>
          <w:rFonts w:ascii="標楷體" w:hAnsi="標楷體" w:eastAsia="標楷體"/>
          <w:sz w:val="32"/>
          <w:szCs w:val="32"/>
        </w:rPr>
      </w:pPr>
      <w:r>
        <w:rPr>
          <w:rFonts w:eastAsia="標楷體" w:ascii="標楷體" w:hAnsi="標楷體"/>
          <w:sz w:val="32"/>
          <w:szCs w:val="32"/>
        </w:rPr>
        <w:t>2020</w:t>
      </w:r>
      <w:r>
        <w:rPr>
          <w:rFonts w:ascii="標楷體" w:hAnsi="標楷體" w:eastAsia="標楷體"/>
          <w:sz w:val="32"/>
          <w:szCs w:val="32"/>
        </w:rPr>
        <w:t>數位化暨科學實驗研討會-疫情下生活科技的物理之探究與實作</w:t>
      </w:r>
    </w:p>
    <w:p>
      <w:pPr>
        <w:pStyle w:val="Style21"/>
        <w:snapToGrid w:val="false"/>
        <w:spacing w:before="180" w:after="0"/>
        <w:jc w:val="center"/>
        <w:rPr>
          <w:rFonts w:ascii="標楷體" w:hAnsi="標楷體" w:eastAsia="標楷體"/>
          <w:sz w:val="32"/>
          <w:szCs w:val="32"/>
        </w:rPr>
      </w:pPr>
      <w:r>
        <w:rPr>
          <w:rFonts w:ascii="標楷體" w:hAnsi="標楷體" w:eastAsia="標楷體"/>
          <w:sz w:val="32"/>
          <w:szCs w:val="32"/>
        </w:rPr>
        <w:t>實施計畫</w:t>
      </w:r>
    </w:p>
    <w:p>
      <w:pPr>
        <w:pStyle w:val="Style21"/>
        <w:spacing w:lineRule="exact" w:line="440"/>
        <w:rPr>
          <w:rFonts w:ascii="標楷體" w:hAnsi="標楷體" w:eastAsia="標楷體"/>
          <w:bCs/>
          <w:color w:val="000000"/>
          <w:sz w:val="26"/>
          <w:szCs w:val="26"/>
        </w:rPr>
      </w:pPr>
      <w:r>
        <w:rPr>
          <w:rFonts w:ascii="標楷體" w:hAnsi="標楷體" w:eastAsia="標楷體"/>
          <w:bCs/>
          <w:color w:val="000000"/>
          <w:sz w:val="26"/>
          <w:szCs w:val="26"/>
        </w:rPr>
        <w:t>壹、依據</w:t>
      </w:r>
    </w:p>
    <w:p>
      <w:pPr>
        <w:pStyle w:val="Style21"/>
        <w:spacing w:lineRule="exact" w:line="440"/>
        <w:ind w:left="850" w:hanging="473"/>
        <w:rPr>
          <w:rFonts w:ascii="標楷體" w:hAnsi="標楷體" w:eastAsia="標楷體"/>
          <w:color w:val="000000"/>
          <w:sz w:val="26"/>
          <w:szCs w:val="26"/>
        </w:rPr>
      </w:pPr>
      <w:r>
        <w:rPr>
          <w:rFonts w:ascii="標楷體" w:hAnsi="標楷體" w:eastAsia="標楷體"/>
          <w:color w:val="000000"/>
          <w:sz w:val="26"/>
          <w:szCs w:val="26"/>
        </w:rPr>
        <w:t>一、教育部國民及學前教育署</w:t>
      </w:r>
      <w:r>
        <w:rPr>
          <w:rFonts w:eastAsia="標楷體" w:ascii="標楷體" w:hAnsi="標楷體"/>
          <w:color w:val="000000"/>
          <w:sz w:val="26"/>
          <w:szCs w:val="26"/>
        </w:rPr>
        <w:t>109</w:t>
      </w:r>
      <w:r>
        <w:rPr>
          <w:rFonts w:ascii="標楷體" w:hAnsi="標楷體" w:eastAsia="標楷體"/>
          <w:color w:val="000000"/>
          <w:sz w:val="26"/>
          <w:szCs w:val="26"/>
        </w:rPr>
        <w:t>年</w:t>
      </w:r>
      <w:r>
        <w:rPr>
          <w:rFonts w:eastAsia="標楷體" w:ascii="標楷體" w:hAnsi="標楷體"/>
          <w:color w:val="000000"/>
          <w:sz w:val="26"/>
          <w:szCs w:val="26"/>
        </w:rPr>
        <w:t>6</w:t>
      </w:r>
      <w:r>
        <w:rPr>
          <w:rFonts w:ascii="標楷體" w:hAnsi="標楷體" w:eastAsia="標楷體"/>
          <w:color w:val="000000"/>
          <w:sz w:val="26"/>
          <w:szCs w:val="26"/>
        </w:rPr>
        <w:t>月</w:t>
      </w:r>
      <w:r>
        <w:rPr>
          <w:rFonts w:eastAsia="標楷體" w:ascii="標楷體" w:hAnsi="標楷體"/>
          <w:color w:val="000000"/>
          <w:sz w:val="26"/>
          <w:szCs w:val="26"/>
        </w:rPr>
        <w:t>24</w:t>
      </w:r>
      <w:r>
        <w:rPr>
          <w:rFonts w:ascii="標楷體" w:hAnsi="標楷體" w:eastAsia="標楷體"/>
          <w:color w:val="000000"/>
          <w:sz w:val="26"/>
          <w:szCs w:val="26"/>
        </w:rPr>
        <w:t>日臺教國署高字第</w:t>
      </w:r>
      <w:r>
        <w:rPr>
          <w:rFonts w:eastAsia="標楷體" w:ascii="標楷體" w:hAnsi="標楷體"/>
          <w:color w:val="000000"/>
          <w:sz w:val="26"/>
          <w:szCs w:val="26"/>
        </w:rPr>
        <w:t>1090069177</w:t>
      </w:r>
      <w:r>
        <w:rPr>
          <w:rFonts w:ascii="標楷體" w:hAnsi="標楷體" w:eastAsia="標楷體"/>
          <w:color w:val="000000"/>
          <w:sz w:val="26"/>
          <w:szCs w:val="26"/>
        </w:rPr>
        <w:t>號函及普通型高級中等學校課程物理學科中心</w:t>
      </w:r>
      <w:r>
        <w:rPr>
          <w:rFonts w:eastAsia="標楷體" w:ascii="標楷體" w:hAnsi="標楷體"/>
          <w:color w:val="000000"/>
          <w:sz w:val="26"/>
          <w:szCs w:val="26"/>
        </w:rPr>
        <w:t>109</w:t>
      </w:r>
      <w:r>
        <w:rPr>
          <w:rFonts w:ascii="標楷體" w:hAnsi="標楷體" w:eastAsia="標楷體"/>
          <w:color w:val="000000"/>
          <w:sz w:val="26"/>
          <w:szCs w:val="26"/>
        </w:rPr>
        <w:t>學年度工作計畫辦理。</w:t>
      </w:r>
    </w:p>
    <w:p>
      <w:pPr>
        <w:pStyle w:val="Style21"/>
        <w:spacing w:lineRule="exact" w:line="440"/>
        <w:rPr/>
      </w:pPr>
      <w:r>
        <w:rPr>
          <w:rStyle w:val="Style14"/>
          <w:rFonts w:ascii="標楷體" w:hAnsi="標楷體" w:eastAsia="標楷體"/>
          <w:bCs/>
          <w:color w:val="000000"/>
          <w:sz w:val="26"/>
          <w:szCs w:val="26"/>
        </w:rPr>
        <w:t>貳、目的</w:t>
      </w:r>
    </w:p>
    <w:p>
      <w:pPr>
        <w:pStyle w:val="Style21"/>
        <w:numPr>
          <w:ilvl w:val="0"/>
          <w:numId w:val="1"/>
        </w:numPr>
        <w:tabs>
          <w:tab w:val="left" w:pos="0" w:leader="none"/>
        </w:tabs>
        <w:spacing w:lineRule="exact" w:line="440"/>
        <w:ind w:left="2340" w:hanging="480"/>
        <w:rPr>
          <w:rFonts w:ascii="標楷體" w:hAnsi="標楷體" w:eastAsia="標楷體"/>
          <w:color w:val="000000"/>
          <w:sz w:val="26"/>
          <w:szCs w:val="26"/>
        </w:rPr>
      </w:pPr>
      <w:r>
        <w:rPr>
          <w:rFonts w:ascii="標楷體" w:hAnsi="標楷體" w:eastAsia="標楷體"/>
          <w:color w:val="000000"/>
          <w:sz w:val="26"/>
          <w:szCs w:val="26"/>
        </w:rPr>
        <w:t>本活動已邁入第</w:t>
      </w:r>
      <w:r>
        <w:rPr>
          <w:rFonts w:eastAsia="標楷體" w:ascii="標楷體" w:hAnsi="標楷體"/>
          <w:color w:val="000000"/>
          <w:sz w:val="26"/>
          <w:szCs w:val="26"/>
        </w:rPr>
        <w:t>9</w:t>
      </w:r>
      <w:r>
        <w:rPr>
          <w:rFonts w:ascii="標楷體" w:hAnsi="標楷體" w:eastAsia="標楷體"/>
          <w:color w:val="000000"/>
          <w:sz w:val="26"/>
          <w:szCs w:val="26"/>
        </w:rPr>
        <w:t>屆，為了推動國內自然科學教學的多元化，並善用各種數位科技技術來激發學生學習自然科學的興趣，我們每一屆的活動都引入不同的主題來配合整體國內自科學科領域的教學環境與學習方法。本屆活動配合</w:t>
      </w:r>
      <w:r>
        <w:rPr>
          <w:rFonts w:eastAsia="標楷體" w:ascii="標楷體" w:hAnsi="標楷體"/>
          <w:color w:val="000000"/>
          <w:sz w:val="26"/>
          <w:szCs w:val="26"/>
        </w:rPr>
        <w:t>108</w:t>
      </w:r>
      <w:r>
        <w:rPr>
          <w:rFonts w:ascii="標楷體" w:hAnsi="標楷體" w:eastAsia="標楷體"/>
          <w:color w:val="000000"/>
          <w:sz w:val="26"/>
          <w:szCs w:val="26"/>
        </w:rPr>
        <w:t>課綱強調探究與實作的精神，我們期待帶領與會老師通過實作幾項課綱的實驗，進行深入淺出的學習，期使日後在課堂教學中，能夠有更豐富的經驗和創意。</w:t>
      </w:r>
    </w:p>
    <w:p>
      <w:pPr>
        <w:pStyle w:val="Style21"/>
        <w:numPr>
          <w:ilvl w:val="0"/>
          <w:numId w:val="1"/>
        </w:numPr>
        <w:tabs>
          <w:tab w:val="left" w:pos="0" w:leader="none"/>
        </w:tabs>
        <w:spacing w:lineRule="exact" w:line="440"/>
        <w:ind w:left="2340" w:hanging="480"/>
        <w:rPr>
          <w:rFonts w:ascii="標楷體" w:hAnsi="標楷體" w:eastAsia="標楷體"/>
          <w:color w:val="000000"/>
          <w:sz w:val="26"/>
          <w:szCs w:val="26"/>
        </w:rPr>
      </w:pPr>
      <w:r>
        <w:rPr>
          <w:rFonts w:ascii="標楷體" w:hAnsi="標楷體" w:eastAsia="標楷體"/>
          <w:color w:val="000000"/>
          <w:sz w:val="26"/>
          <w:szCs w:val="26"/>
        </w:rPr>
        <w:t>因應國際科學教學數位化的趨勢，同時結合不一樣的教學方法和理念，提供國高中自然學科教師更多有趣的發想和創意，同時結合不同領域的數位化學習概念。</w:t>
      </w:r>
    </w:p>
    <w:p>
      <w:pPr>
        <w:pStyle w:val="Style21"/>
        <w:spacing w:lineRule="exact" w:line="440"/>
        <w:rPr>
          <w:rFonts w:ascii="標楷體" w:hAnsi="標楷體" w:eastAsia="標楷體"/>
          <w:color w:val="000000"/>
          <w:sz w:val="26"/>
          <w:szCs w:val="26"/>
        </w:rPr>
      </w:pPr>
      <w:r>
        <w:rPr>
          <w:rFonts w:ascii="標楷體" w:hAnsi="標楷體" w:eastAsia="標楷體"/>
          <w:color w:val="000000"/>
          <w:sz w:val="26"/>
          <w:szCs w:val="26"/>
        </w:rPr>
        <w:t>參、辦理單位</w:t>
      </w:r>
    </w:p>
    <w:p>
      <w:pPr>
        <w:pStyle w:val="Style21"/>
        <w:spacing w:lineRule="exact" w:line="440"/>
        <w:ind w:left="993" w:hanging="520"/>
        <w:rPr>
          <w:rFonts w:ascii="標楷體" w:hAnsi="標楷體" w:eastAsia="標楷體"/>
          <w:color w:val="000000"/>
          <w:sz w:val="26"/>
          <w:szCs w:val="26"/>
        </w:rPr>
      </w:pPr>
      <w:r>
        <w:rPr>
          <w:rFonts w:ascii="標楷體" w:hAnsi="標楷體" w:eastAsia="標楷體"/>
          <w:color w:val="000000"/>
          <w:sz w:val="26"/>
          <w:szCs w:val="26"/>
        </w:rPr>
        <w:t>一、指導單位：教育部國民及學前教育署。</w:t>
      </w:r>
    </w:p>
    <w:p>
      <w:pPr>
        <w:pStyle w:val="Style21"/>
        <w:spacing w:lineRule="exact" w:line="440"/>
        <w:ind w:left="993" w:hanging="520"/>
        <w:rPr>
          <w:rFonts w:ascii="標楷體" w:hAnsi="標楷體" w:eastAsia="標楷體"/>
          <w:color w:val="000000"/>
          <w:sz w:val="26"/>
          <w:szCs w:val="26"/>
        </w:rPr>
      </w:pPr>
      <w:r>
        <w:rPr>
          <w:rFonts w:ascii="標楷體" w:hAnsi="標楷體" w:eastAsia="標楷體"/>
          <w:color w:val="000000"/>
          <w:sz w:val="26"/>
          <w:szCs w:val="26"/>
        </w:rPr>
        <w:t>二、主辦單位：普通型高級中等學校課程物理學科中心、臺中一中。</w:t>
      </w:r>
    </w:p>
    <w:p>
      <w:pPr>
        <w:pStyle w:val="Style21"/>
        <w:spacing w:lineRule="exact" w:line="440"/>
        <w:rPr>
          <w:rFonts w:ascii="標楷體" w:hAnsi="標楷體" w:eastAsia="標楷體"/>
          <w:color w:val="000000"/>
          <w:sz w:val="26"/>
          <w:szCs w:val="26"/>
        </w:rPr>
      </w:pPr>
      <w:r>
        <w:rPr>
          <w:rFonts w:ascii="標楷體" w:hAnsi="標楷體" w:eastAsia="標楷體"/>
          <w:color w:val="000000"/>
          <w:sz w:val="26"/>
          <w:szCs w:val="26"/>
        </w:rPr>
        <w:t xml:space="preserve">                  </w:t>
      </w:r>
      <w:r>
        <w:rPr>
          <w:rFonts w:ascii="標楷體" w:hAnsi="標楷體" w:eastAsia="標楷體"/>
          <w:color w:val="000000"/>
          <w:sz w:val="26"/>
          <w:szCs w:val="26"/>
        </w:rPr>
        <w:t>東吳大學物理系</w:t>
      </w:r>
    </w:p>
    <w:p>
      <w:pPr>
        <w:pStyle w:val="Style21"/>
        <w:spacing w:lineRule="exact" w:line="440"/>
        <w:ind w:left="3120" w:hanging="3120"/>
        <w:rPr/>
      </w:pPr>
      <w:r>
        <w:rPr>
          <w:rStyle w:val="Style14"/>
          <w:rFonts w:ascii="標楷體" w:hAnsi="標楷體" w:eastAsia="標楷體"/>
          <w:color w:val="000000"/>
          <w:sz w:val="26"/>
          <w:szCs w:val="26"/>
        </w:rPr>
        <w:t>肆、參加對象與預計人數：全國各級學校對科學教育有興趣之學生、教師及一般民眾。</w:t>
      </w:r>
      <w:r>
        <w:rPr>
          <w:rStyle w:val="Style14"/>
          <w:rFonts w:ascii="標楷體" w:hAnsi="標楷體" w:eastAsia="標楷體"/>
          <w:sz w:val="26"/>
          <w:szCs w:val="26"/>
        </w:rPr>
        <w:t>每場次預計</w:t>
      </w:r>
      <w:r>
        <w:rPr>
          <w:rStyle w:val="Style14"/>
          <w:rFonts w:eastAsia="標楷體" w:ascii="標楷體" w:hAnsi="標楷體"/>
          <w:sz w:val="26"/>
          <w:szCs w:val="26"/>
        </w:rPr>
        <w:t>75</w:t>
      </w:r>
      <w:r>
        <w:rPr>
          <w:rStyle w:val="Style14"/>
          <w:rFonts w:ascii="標楷體" w:hAnsi="標楷體" w:eastAsia="標楷體"/>
          <w:sz w:val="26"/>
          <w:szCs w:val="26"/>
        </w:rPr>
        <w:t>名額滿為止。</w:t>
      </w:r>
    </w:p>
    <w:p>
      <w:pPr>
        <w:pStyle w:val="Style21"/>
        <w:spacing w:lineRule="exact" w:line="440"/>
        <w:rPr/>
      </w:pPr>
      <w:r>
        <w:rPr>
          <w:rStyle w:val="Style14"/>
          <w:rFonts w:ascii="標楷體" w:hAnsi="標楷體" w:eastAsia="標楷體"/>
          <w:color w:val="000000"/>
          <w:sz w:val="26"/>
          <w:szCs w:val="26"/>
        </w:rPr>
        <w:t>伍、研習時間：</w:t>
      </w:r>
      <w:r>
        <w:rPr>
          <w:rStyle w:val="Style14"/>
          <w:rFonts w:eastAsia="標楷體" w:ascii="標楷體" w:hAnsi="標楷體"/>
          <w:color w:val="000000"/>
          <w:sz w:val="26"/>
          <w:szCs w:val="26"/>
        </w:rPr>
        <w:t>109</w:t>
      </w:r>
      <w:r>
        <w:rPr>
          <w:rStyle w:val="Style14"/>
          <w:rFonts w:ascii="標楷體" w:hAnsi="標楷體" w:eastAsia="標楷體"/>
          <w:color w:val="000000"/>
          <w:sz w:val="26"/>
          <w:szCs w:val="26"/>
        </w:rPr>
        <w:t>年</w:t>
      </w:r>
      <w:r>
        <w:rPr>
          <w:rStyle w:val="Style14"/>
          <w:rFonts w:eastAsia="標楷體" w:ascii="標楷體" w:hAnsi="標楷體"/>
          <w:color w:val="000000"/>
          <w:sz w:val="26"/>
          <w:szCs w:val="26"/>
        </w:rPr>
        <w:t>12</w:t>
      </w:r>
      <w:r>
        <w:rPr>
          <w:rStyle w:val="Style14"/>
          <w:rFonts w:ascii="標楷體" w:hAnsi="標楷體" w:eastAsia="標楷體"/>
          <w:color w:val="000000"/>
          <w:sz w:val="26"/>
          <w:szCs w:val="26"/>
        </w:rPr>
        <w:t>月</w:t>
      </w:r>
      <w:r>
        <w:rPr>
          <w:rStyle w:val="Style14"/>
          <w:rFonts w:eastAsia="標楷體" w:ascii="標楷體" w:hAnsi="標楷體"/>
          <w:color w:val="000000"/>
          <w:sz w:val="26"/>
          <w:szCs w:val="26"/>
        </w:rPr>
        <w:t>5</w:t>
      </w:r>
      <w:r>
        <w:rPr>
          <w:rStyle w:val="Style14"/>
          <w:rFonts w:ascii="標楷體" w:hAnsi="標楷體" w:eastAsia="標楷體"/>
          <w:color w:val="000000"/>
          <w:sz w:val="26"/>
          <w:szCs w:val="26"/>
        </w:rPr>
        <w:t>日（星期六</w:t>
      </w:r>
      <w:r>
        <w:rPr>
          <w:rStyle w:val="Style14"/>
          <w:rFonts w:ascii="標楷體" w:hAnsi="標楷體" w:eastAsia="標楷體"/>
          <w:sz w:val="26"/>
          <w:szCs w:val="26"/>
        </w:rPr>
        <w:t>）</w:t>
      </w:r>
      <w:r>
        <w:rPr>
          <w:rStyle w:val="Style14"/>
          <w:rFonts w:ascii="標楷體" w:hAnsi="標楷體" w:eastAsia="標楷體"/>
          <w:color w:val="000000"/>
          <w:sz w:val="26"/>
          <w:szCs w:val="26"/>
        </w:rPr>
        <w:t>上午</w:t>
      </w:r>
      <w:r>
        <w:rPr>
          <w:rStyle w:val="Style14"/>
          <w:rFonts w:eastAsia="標楷體" w:ascii="標楷體" w:hAnsi="標楷體"/>
          <w:color w:val="000000"/>
          <w:sz w:val="26"/>
          <w:szCs w:val="26"/>
        </w:rPr>
        <w:t>09</w:t>
      </w:r>
      <w:r>
        <w:rPr>
          <w:rStyle w:val="Style14"/>
          <w:rFonts w:ascii="標楷體" w:hAnsi="標楷體" w:eastAsia="標楷體"/>
          <w:color w:val="000000"/>
          <w:sz w:val="26"/>
          <w:szCs w:val="26"/>
        </w:rPr>
        <w:t>：</w:t>
      </w:r>
      <w:r>
        <w:rPr>
          <w:rStyle w:val="Style14"/>
          <w:rFonts w:eastAsia="標楷體" w:ascii="標楷體" w:hAnsi="標楷體"/>
          <w:color w:val="000000"/>
          <w:sz w:val="26"/>
          <w:szCs w:val="26"/>
        </w:rPr>
        <w:t>00</w:t>
      </w:r>
      <w:r>
        <w:rPr>
          <w:rStyle w:val="Style14"/>
          <w:rFonts w:ascii="標楷體" w:hAnsi="標楷體" w:eastAsia="標楷體"/>
          <w:color w:val="000000"/>
          <w:sz w:val="26"/>
          <w:szCs w:val="26"/>
        </w:rPr>
        <w:t>～</w:t>
      </w:r>
      <w:r>
        <w:rPr>
          <w:rStyle w:val="Style14"/>
          <w:rFonts w:eastAsia="標楷體" w:ascii="標楷體" w:hAnsi="標楷體"/>
          <w:color w:val="000000"/>
          <w:sz w:val="26"/>
          <w:szCs w:val="26"/>
        </w:rPr>
        <w:t>17</w:t>
      </w:r>
      <w:r>
        <w:rPr>
          <w:rStyle w:val="Style14"/>
          <w:rFonts w:ascii="標楷體" w:hAnsi="標楷體" w:eastAsia="標楷體"/>
          <w:color w:val="000000"/>
          <w:sz w:val="26"/>
          <w:szCs w:val="26"/>
        </w:rPr>
        <w:t>：</w:t>
      </w:r>
      <w:r>
        <w:rPr>
          <w:rStyle w:val="Style14"/>
          <w:rFonts w:eastAsia="標楷體" w:ascii="標楷體" w:hAnsi="標楷體"/>
          <w:color w:val="000000"/>
          <w:sz w:val="26"/>
          <w:szCs w:val="26"/>
        </w:rPr>
        <w:t>10</w:t>
      </w:r>
      <w:r>
        <w:rPr>
          <w:rStyle w:val="Style14"/>
          <w:rFonts w:ascii="標楷體" w:hAnsi="標楷體" w:eastAsia="標楷體"/>
          <w:color w:val="000000"/>
          <w:sz w:val="26"/>
          <w:szCs w:val="26"/>
        </w:rPr>
        <w:t>。</w:t>
      </w:r>
    </w:p>
    <w:p>
      <w:pPr>
        <w:pStyle w:val="Style21"/>
        <w:tabs>
          <w:tab w:val="left" w:pos="5970" w:leader="none"/>
        </w:tabs>
        <w:spacing w:lineRule="exact" w:line="440"/>
        <w:rPr>
          <w:rFonts w:ascii="標楷體" w:hAnsi="標楷體" w:eastAsia="標楷體"/>
          <w:color w:val="000000"/>
          <w:sz w:val="26"/>
          <w:szCs w:val="26"/>
        </w:rPr>
      </w:pPr>
      <w:r>
        <w:rPr>
          <w:rFonts w:ascii="標楷體" w:hAnsi="標楷體" w:eastAsia="標楷體"/>
          <w:color w:val="000000"/>
          <w:sz w:val="26"/>
          <w:szCs w:val="26"/>
        </w:rPr>
        <w:t xml:space="preserve">陸、研習地點：東吳大學物理系 第一教研大樓 </w:t>
      </w:r>
      <w:r>
        <w:rPr>
          <w:rFonts w:eastAsia="標楷體" w:ascii="標楷體" w:hAnsi="標楷體"/>
          <w:color w:val="000000"/>
          <w:sz w:val="26"/>
          <w:szCs w:val="26"/>
        </w:rPr>
        <w:t>R601</w:t>
      </w:r>
      <w:r>
        <w:rPr>
          <w:rFonts w:ascii="標楷體" w:hAnsi="標楷體" w:eastAsia="標楷體"/>
          <w:color w:val="000000"/>
          <w:sz w:val="26"/>
          <w:szCs w:val="26"/>
        </w:rPr>
        <w:t>源流講堂</w:t>
      </w:r>
    </w:p>
    <w:p>
      <w:pPr>
        <w:pStyle w:val="Style21"/>
        <w:spacing w:lineRule="exact" w:line="440"/>
        <w:rPr>
          <w:rFonts w:ascii="標楷體" w:hAnsi="標楷體" w:eastAsia="標楷體"/>
          <w:color w:val="000000"/>
          <w:sz w:val="26"/>
          <w:szCs w:val="26"/>
        </w:rPr>
      </w:pPr>
      <w:r>
        <w:rPr>
          <w:rFonts w:ascii="標楷體" w:hAnsi="標楷體" w:eastAsia="標楷體"/>
          <w:color w:val="000000"/>
          <w:sz w:val="26"/>
          <w:szCs w:val="26"/>
        </w:rPr>
        <w:t>柒、預期效益：</w:t>
      </w:r>
    </w:p>
    <w:p>
      <w:pPr>
        <w:pStyle w:val="Style21"/>
        <w:tabs>
          <w:tab w:val="left" w:pos="480" w:leader="none"/>
        </w:tabs>
        <w:spacing w:lineRule="exact" w:line="440"/>
        <w:ind w:left="480" w:hanging="0"/>
        <w:rPr>
          <w:rFonts w:ascii="標楷體" w:hAnsi="標楷體" w:eastAsia="標楷體"/>
          <w:color w:val="000000"/>
          <w:sz w:val="26"/>
          <w:szCs w:val="26"/>
        </w:rPr>
      </w:pPr>
      <w:r>
        <w:rPr>
          <w:rFonts w:ascii="標楷體" w:hAnsi="標楷體" w:eastAsia="標楷體"/>
          <w:color w:val="000000"/>
          <w:sz w:val="26"/>
          <w:szCs w:val="26"/>
        </w:rPr>
        <w:t>透過數位化科學實驗演示及數位科學量測的經驗分享，期待可以帶給課堂教學上許多科學即時呈現的教學範例和思維。</w:t>
      </w:r>
    </w:p>
    <w:p>
      <w:pPr>
        <w:pStyle w:val="Style21"/>
        <w:spacing w:lineRule="exact" w:line="440"/>
        <w:rPr/>
      </w:pPr>
      <w:r>
        <w:rPr>
          <w:rStyle w:val="Style14"/>
          <w:rFonts w:ascii="標楷體" w:hAnsi="標楷體" w:eastAsia="標楷體"/>
          <w:color w:val="000000"/>
          <w:sz w:val="26"/>
          <w:szCs w:val="26"/>
        </w:rPr>
        <w:t>捌、</w:t>
      </w:r>
      <w:r>
        <w:rPr>
          <w:rStyle w:val="Style14"/>
          <w:rFonts w:ascii="標楷體" w:hAnsi="標楷體" w:eastAsia="標楷體"/>
          <w:bCs/>
          <w:color w:val="000000"/>
          <w:sz w:val="26"/>
          <w:szCs w:val="26"/>
        </w:rPr>
        <w:t>報名方式與報名時間：網路報名</w:t>
      </w:r>
      <w:r>
        <w:rPr>
          <w:rStyle w:val="Style14"/>
          <w:rFonts w:ascii="標楷體" w:hAnsi="標楷體" w:eastAsia="標楷體"/>
          <w:color w:val="000000"/>
          <w:sz w:val="26"/>
          <w:szCs w:val="26"/>
        </w:rPr>
        <w:t>，</w:t>
      </w:r>
      <w:r>
        <w:rPr>
          <w:rStyle w:val="Style14"/>
          <w:rFonts w:ascii="標楷體" w:hAnsi="標楷體" w:eastAsia="標楷體"/>
          <w:bCs/>
          <w:color w:val="000000"/>
          <w:sz w:val="26"/>
          <w:szCs w:val="26"/>
        </w:rPr>
        <w:t>即日起至</w:t>
      </w:r>
      <w:r>
        <w:rPr>
          <w:rStyle w:val="Style14"/>
          <w:rFonts w:eastAsia="標楷體" w:ascii="標楷體" w:hAnsi="標楷體"/>
          <w:bCs/>
          <w:sz w:val="26"/>
          <w:szCs w:val="26"/>
        </w:rPr>
        <w:t>11</w:t>
      </w:r>
      <w:r>
        <w:rPr>
          <w:rStyle w:val="Style14"/>
          <w:rFonts w:ascii="標楷體" w:hAnsi="標楷體" w:eastAsia="標楷體"/>
          <w:bCs/>
          <w:sz w:val="26"/>
          <w:szCs w:val="26"/>
        </w:rPr>
        <w:t>月</w:t>
      </w:r>
      <w:r>
        <w:rPr>
          <w:rStyle w:val="Style14"/>
          <w:rFonts w:eastAsia="標楷體" w:ascii="標楷體" w:hAnsi="標楷體"/>
          <w:bCs/>
          <w:sz w:val="26"/>
          <w:szCs w:val="26"/>
        </w:rPr>
        <w:t>30</w:t>
      </w:r>
      <w:r>
        <w:rPr>
          <w:rStyle w:val="Style14"/>
          <w:rFonts w:ascii="標楷體" w:hAnsi="標楷體" w:eastAsia="標楷體"/>
          <w:bCs/>
          <w:sz w:val="26"/>
          <w:szCs w:val="26"/>
        </w:rPr>
        <w:t>日止</w:t>
      </w:r>
    </w:p>
    <w:p>
      <w:pPr>
        <w:pStyle w:val="Style21"/>
        <w:numPr>
          <w:ilvl w:val="0"/>
          <w:numId w:val="2"/>
        </w:numPr>
        <w:tabs>
          <w:tab w:val="left" w:pos="0" w:leader="none"/>
        </w:tabs>
        <w:spacing w:lineRule="exact" w:line="440"/>
        <w:ind w:left="2513" w:hanging="480"/>
        <w:rPr>
          <w:rFonts w:ascii="標楷體" w:hAnsi="標楷體" w:eastAsia="標楷體"/>
          <w:color w:val="000000"/>
          <w:sz w:val="26"/>
          <w:szCs w:val="26"/>
        </w:rPr>
      </w:pPr>
      <w:r>
        <w:rPr>
          <w:rFonts w:ascii="標楷體" w:hAnsi="標楷體" w:eastAsia="標楷體"/>
          <w:color w:val="000000"/>
          <w:sz w:val="26"/>
          <w:szCs w:val="26"/>
        </w:rPr>
        <w:t>本活動列入教師進修研習課程，每場核予研習時數</w:t>
      </w:r>
      <w:r>
        <w:rPr>
          <w:rFonts w:eastAsia="標楷體" w:ascii="標楷體" w:hAnsi="標楷體"/>
          <w:color w:val="000000"/>
          <w:sz w:val="26"/>
          <w:szCs w:val="26"/>
        </w:rPr>
        <w:t>6</w:t>
      </w:r>
      <w:r>
        <w:rPr>
          <w:rFonts w:ascii="標楷體" w:hAnsi="標楷體" w:eastAsia="標楷體"/>
          <w:color w:val="000000"/>
          <w:sz w:val="26"/>
          <w:szCs w:val="26"/>
        </w:rPr>
        <w:t>小時。</w:t>
      </w:r>
    </w:p>
    <w:p>
      <w:pPr>
        <w:pStyle w:val="Style21"/>
        <w:numPr>
          <w:ilvl w:val="0"/>
          <w:numId w:val="3"/>
        </w:numPr>
        <w:tabs>
          <w:tab w:val="left" w:pos="0" w:leader="none"/>
        </w:tabs>
        <w:spacing w:lineRule="exact" w:line="440"/>
        <w:ind w:left="1433" w:hanging="480"/>
        <w:rPr/>
      </w:pPr>
      <w:r>
        <w:rPr>
          <w:rStyle w:val="Style14"/>
          <w:rFonts w:ascii="標楷體" w:hAnsi="標楷體" w:eastAsia="標楷體"/>
          <w:color w:val="000000"/>
          <w:sz w:val="26"/>
          <w:szCs w:val="26"/>
        </w:rPr>
        <w:t>因研習場地有限，每場次預計</w:t>
      </w:r>
      <w:r>
        <w:rPr>
          <w:rStyle w:val="Style14"/>
          <w:rFonts w:eastAsia="標楷體" w:ascii="標楷體" w:hAnsi="標楷體"/>
          <w:color w:val="000000"/>
          <w:sz w:val="26"/>
          <w:szCs w:val="26"/>
        </w:rPr>
        <w:t>75</w:t>
      </w:r>
      <w:r>
        <w:rPr>
          <w:rStyle w:val="Style14"/>
          <w:rFonts w:ascii="標楷體" w:hAnsi="標楷體" w:eastAsia="標楷體"/>
          <w:color w:val="000000"/>
          <w:sz w:val="26"/>
          <w:szCs w:val="26"/>
        </w:rPr>
        <w:t>名額，額滿為止，請逕行線上報名，報名網址：</w:t>
      </w:r>
      <w:hyperlink r:id="rId2" w:tgtFrame="_blank">
        <w:r>
          <w:rPr>
            <w:rStyle w:val="Style16"/>
            <w:rFonts w:eastAsia="標楷體" w:ascii="標楷體" w:hAnsi="標楷體"/>
            <w:sz w:val="26"/>
            <w:szCs w:val="26"/>
          </w:rPr>
          <w:t>https://bit.ly/35HiWvm</w:t>
        </w:r>
      </w:hyperlink>
      <w:r>
        <w:rPr>
          <w:rStyle w:val="Style14"/>
          <w:rFonts w:eastAsia="標楷體" w:ascii="標楷體" w:hAnsi="標楷體"/>
          <w:color w:val="000000"/>
          <w:sz w:val="26"/>
          <w:szCs w:val="26"/>
        </w:rPr>
        <w:t> </w:t>
      </w:r>
      <w:r>
        <w:br w:type="page"/>
      </w:r>
    </w:p>
    <w:p>
      <w:pPr>
        <w:pStyle w:val="Style21"/>
        <w:spacing w:lineRule="exact" w:line="500"/>
        <w:rPr>
          <w:rFonts w:ascii="標楷體" w:hAnsi="標楷體" w:eastAsia="標楷體"/>
          <w:color w:val="000000"/>
          <w:sz w:val="26"/>
          <w:szCs w:val="26"/>
        </w:rPr>
      </w:pPr>
      <w:r>
        <w:rPr>
          <w:rFonts w:ascii="標楷體" w:hAnsi="標楷體" w:eastAsia="標楷體"/>
          <w:color w:val="000000"/>
          <w:sz w:val="26"/>
          <w:szCs w:val="26"/>
        </w:rPr>
        <w:t xml:space="preserve">玖、研習主題與流程： </w:t>
      </w:r>
    </w:p>
    <w:tbl>
      <w:tblPr>
        <w:tblW w:w="104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662"/>
        <w:gridCol w:w="1245"/>
        <w:gridCol w:w="1751"/>
        <w:gridCol w:w="1546"/>
        <w:gridCol w:w="4159"/>
        <w:gridCol w:w="48"/>
      </w:tblGrid>
      <w:tr>
        <w:trPr>
          <w:trHeight w:val="610" w:hRule="atLeast"/>
        </w:trPr>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Style21"/>
              <w:spacing w:lineRule="atLeast" w:line="440"/>
              <w:jc w:val="center"/>
              <w:rPr/>
            </w:pPr>
            <w:r>
              <w:rPr>
                <w:rStyle w:val="Style14"/>
                <w:rFonts w:ascii="標楷體" w:hAnsi="標楷體" w:cs="新細明體" w:eastAsia="標楷體"/>
                <w:b/>
                <w:bCs/>
                <w:sz w:val="28"/>
                <w:szCs w:val="28"/>
              </w:rPr>
              <w:t>時間</w:t>
            </w:r>
          </w:p>
        </w:tc>
        <w:tc>
          <w:tcPr>
            <w:tcW w:w="45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Style21"/>
              <w:spacing w:lineRule="auto"/>
              <w:jc w:val="center"/>
              <w:rPr/>
            </w:pPr>
            <w:r>
              <w:rPr>
                <w:rStyle w:val="Style14"/>
                <w:rFonts w:ascii="標楷體" w:hAnsi="標楷體" w:cs="新細明體" w:eastAsia="標楷體"/>
                <w:b/>
                <w:bCs/>
                <w:sz w:val="28"/>
                <w:szCs w:val="28"/>
              </w:rPr>
              <w:t>主題</w:t>
            </w:r>
          </w:p>
        </w:tc>
        <w:tc>
          <w:tcPr>
            <w:tcW w:w="4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Style21"/>
              <w:spacing w:lineRule="auto"/>
              <w:jc w:val="center"/>
              <w:rPr/>
            </w:pPr>
            <w:r>
              <w:rPr>
                <w:rStyle w:val="Style14"/>
                <w:rFonts w:ascii="標楷體" w:hAnsi="標楷體" w:cs="新細明體" w:eastAsia="標楷體"/>
                <w:b/>
                <w:bCs/>
                <w:sz w:val="28"/>
                <w:szCs w:val="28"/>
              </w:rPr>
              <w:t>主講者/主持人</w:t>
            </w:r>
          </w:p>
        </w:tc>
        <w:tc>
          <w:tcPr>
            <w:tcW w:w="48" w:type="dxa"/>
            <w:tcBorders/>
            <w:shd w:fill="auto" w:val="clear"/>
            <w:tcMar>
              <w:left w:w="0" w:type="dxa"/>
              <w:right w:w="0" w:type="dxa"/>
            </w:tcMar>
          </w:tcPr>
          <w:p>
            <w:pPr>
              <w:pStyle w:val="Style21"/>
              <w:spacing w:lineRule="auto"/>
              <w:jc w:val="center"/>
              <w:rPr/>
            </w:pPr>
            <w:r>
              <w:rPr/>
            </w:r>
          </w:p>
        </w:tc>
      </w:tr>
      <w:tr>
        <w:trPr/>
        <w:tc>
          <w:tcPr>
            <w:tcW w:w="1662" w:type="dxa"/>
            <w:tcBorders>
              <w:top w:val="single" w:sz="8" w:space="0" w:color="000000"/>
              <w:left w:val="single" w:sz="8" w:space="0" w:color="000000"/>
              <w:bottom w:val="single" w:sz="4" w:space="0" w:color="000000"/>
              <w:insideH w:val="single" w:sz="4" w:space="0" w:color="000000"/>
            </w:tcBorders>
            <w:shd w:fill="auto" w:val="clear"/>
            <w:tcMar>
              <w:left w:w="98" w:type="dxa"/>
            </w:tcMar>
            <w:vAlign w:val="center"/>
          </w:tcPr>
          <w:p>
            <w:pPr>
              <w:pStyle w:val="Style21"/>
              <w:spacing w:lineRule="atLeast" w:line="440"/>
              <w:jc w:val="center"/>
              <w:rPr>
                <w:rFonts w:ascii="標楷體" w:hAnsi="標楷體" w:eastAsia="標楷體" w:cs="Calibri"/>
                <w:bCs/>
              </w:rPr>
            </w:pPr>
            <w:r>
              <w:rPr>
                <w:rFonts w:eastAsia="標楷體" w:cs="Calibri" w:ascii="標楷體" w:hAnsi="標楷體"/>
                <w:bCs/>
              </w:rPr>
              <w:t>9:00-9:20</w:t>
            </w:r>
          </w:p>
        </w:tc>
        <w:tc>
          <w:tcPr>
            <w:tcW w:w="8701" w:type="dxa"/>
            <w:gridSpan w:val="4"/>
            <w:tcBorders>
              <w:top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Style21"/>
              <w:spacing w:lineRule="atLeast" w:line="440"/>
              <w:rPr/>
            </w:pPr>
            <w:r>
              <w:rPr>
                <w:rStyle w:val="Style14"/>
                <w:rFonts w:ascii="標楷體" w:hAnsi="標楷體" w:cs="新細明體" w:eastAsia="標楷體"/>
              </w:rPr>
              <w:t xml:space="preserve">                         </w:t>
            </w:r>
            <w:r>
              <w:rPr>
                <w:rStyle w:val="Style14"/>
                <w:rFonts w:ascii="標楷體" w:hAnsi="標楷體" w:cs="新細明體" w:eastAsia="標楷體"/>
                <w:sz w:val="28"/>
                <w:szCs w:val="28"/>
              </w:rPr>
              <w:t xml:space="preserve">  </w:t>
            </w:r>
            <w:r>
              <w:rPr>
                <w:rStyle w:val="Style14"/>
                <w:rFonts w:ascii="標楷體" w:hAnsi="標楷體" w:cs="新細明體" w:eastAsia="標楷體"/>
                <w:sz w:val="26"/>
                <w:szCs w:val="26"/>
              </w:rPr>
              <w:t xml:space="preserve"> </w:t>
            </w:r>
            <w:r>
              <w:rPr>
                <w:rStyle w:val="Style14"/>
                <w:rFonts w:ascii="標楷體" w:hAnsi="標楷體" w:cs="新細明體" w:eastAsia="標楷體"/>
                <w:sz w:val="26"/>
                <w:szCs w:val="26"/>
              </w:rPr>
              <w:t>報到</w:t>
            </w:r>
          </w:p>
        </w:tc>
        <w:tc>
          <w:tcPr>
            <w:tcW w:w="48" w:type="dxa"/>
            <w:tcBorders/>
            <w:shd w:fill="auto" w:val="clear"/>
            <w:tcMar>
              <w:left w:w="0" w:type="dxa"/>
              <w:right w:w="0" w:type="dxa"/>
            </w:tcMar>
          </w:tcPr>
          <w:p>
            <w:pPr>
              <w:pStyle w:val="Style21"/>
              <w:spacing w:lineRule="atLeast" w:line="440"/>
              <w:rPr/>
            </w:pPr>
            <w:r>
              <w:rPr/>
            </w:r>
          </w:p>
        </w:tc>
      </w:tr>
      <w:tr>
        <w:trPr>
          <w:trHeight w:val="610" w:hRule="atLeast"/>
        </w:trPr>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tLeast" w:line="440"/>
              <w:jc w:val="center"/>
              <w:rPr>
                <w:rFonts w:ascii="標楷體" w:hAnsi="標楷體" w:eastAsia="標楷體" w:cs="Calibri"/>
                <w:bCs/>
              </w:rPr>
            </w:pPr>
            <w:r>
              <w:rPr>
                <w:rFonts w:eastAsia="標楷體" w:cs="Calibri" w:ascii="標楷體" w:hAnsi="標楷體"/>
                <w:bCs/>
              </w:rPr>
              <w:t>9:20-9:30</w:t>
            </w:r>
          </w:p>
        </w:tc>
        <w:tc>
          <w:tcPr>
            <w:tcW w:w="45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uto"/>
              <w:jc w:val="center"/>
              <w:rPr>
                <w:rFonts w:ascii="標楷體" w:hAnsi="標楷體" w:eastAsia="標楷體" w:cs="新細明體"/>
                <w:sz w:val="26"/>
                <w:szCs w:val="26"/>
              </w:rPr>
            </w:pPr>
            <w:r>
              <w:rPr>
                <w:rFonts w:ascii="標楷體" w:hAnsi="標楷體" w:cs="新細明體" w:eastAsia="標楷體"/>
                <w:sz w:val="26"/>
                <w:szCs w:val="26"/>
              </w:rPr>
              <w:t>開場主持暨介紹</w:t>
            </w:r>
          </w:p>
        </w:tc>
        <w:tc>
          <w:tcPr>
            <w:tcW w:w="4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uto"/>
              <w:jc w:val="center"/>
              <w:rPr>
                <w:rFonts w:ascii="標楷體" w:hAnsi="標楷體" w:eastAsia="標楷體" w:cs="新細明體"/>
                <w:sz w:val="26"/>
                <w:szCs w:val="26"/>
              </w:rPr>
            </w:pPr>
            <w:r>
              <w:rPr>
                <w:rFonts w:ascii="標楷體" w:hAnsi="標楷體" w:cs="新細明體" w:eastAsia="標楷體"/>
                <w:sz w:val="26"/>
                <w:szCs w:val="26"/>
              </w:rPr>
              <w:t>東吳大學物理系系主任</w:t>
            </w:r>
          </w:p>
        </w:tc>
        <w:tc>
          <w:tcPr>
            <w:tcW w:w="48" w:type="dxa"/>
            <w:tcBorders/>
            <w:shd w:fill="auto" w:val="clear"/>
            <w:tcMar>
              <w:left w:w="0" w:type="dxa"/>
              <w:right w:w="0" w:type="dxa"/>
            </w:tcMar>
          </w:tcPr>
          <w:p>
            <w:pPr>
              <w:pStyle w:val="Style21"/>
              <w:spacing w:lineRule="auto"/>
              <w:jc w:val="center"/>
              <w:rPr>
                <w:rFonts w:ascii="標楷體" w:hAnsi="標楷體" w:eastAsia="標楷體" w:cs="新細明體"/>
                <w:sz w:val="26"/>
                <w:szCs w:val="26"/>
              </w:rPr>
            </w:pPr>
            <w:r>
              <w:rPr>
                <w:rFonts w:eastAsia="標楷體" w:cs="新細明體" w:ascii="標楷體" w:hAnsi="標楷體"/>
                <w:sz w:val="26"/>
                <w:szCs w:val="26"/>
              </w:rPr>
            </w:r>
          </w:p>
        </w:tc>
      </w:tr>
      <w:tr>
        <w:trPr>
          <w:trHeight w:val="993" w:hRule="atLeast"/>
        </w:trPr>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tLeast" w:line="440"/>
              <w:jc w:val="center"/>
              <w:rPr>
                <w:rFonts w:ascii="標楷體" w:hAnsi="標楷體" w:eastAsia="標楷體" w:cs="Calibri"/>
                <w:bCs/>
              </w:rPr>
            </w:pPr>
            <w:r>
              <w:rPr>
                <w:rFonts w:eastAsia="標楷體" w:cs="Calibri" w:ascii="標楷體" w:hAnsi="標楷體"/>
                <w:bCs/>
              </w:rPr>
              <w:t>9:30-10:30</w:t>
            </w:r>
          </w:p>
        </w:tc>
        <w:tc>
          <w:tcPr>
            <w:tcW w:w="45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uto"/>
              <w:jc w:val="center"/>
              <w:rPr>
                <w:rFonts w:ascii="標楷體" w:hAnsi="標楷體" w:eastAsia="標楷體" w:cs="新細明體"/>
                <w:sz w:val="26"/>
                <w:szCs w:val="26"/>
              </w:rPr>
            </w:pPr>
            <w:r>
              <w:rPr>
                <w:rFonts w:ascii="標楷體" w:hAnsi="標楷體" w:cs="新細明體" w:eastAsia="標楷體"/>
                <w:sz w:val="26"/>
                <w:szCs w:val="26"/>
              </w:rPr>
              <w:t>防疫物資的物理和演示</w:t>
            </w:r>
          </w:p>
        </w:tc>
        <w:tc>
          <w:tcPr>
            <w:tcW w:w="4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uto"/>
              <w:jc w:val="center"/>
              <w:rPr>
                <w:rFonts w:ascii="標楷體" w:hAnsi="標楷體" w:eastAsia="標楷體" w:cs="新細明體"/>
                <w:sz w:val="26"/>
                <w:szCs w:val="26"/>
              </w:rPr>
            </w:pPr>
            <w:r>
              <w:rPr>
                <w:rFonts w:ascii="標楷體" w:hAnsi="標楷體" w:cs="新細明體" w:eastAsia="標楷體"/>
                <w:sz w:val="26"/>
                <w:szCs w:val="26"/>
              </w:rPr>
              <w:t>東吳大學物理系</w:t>
            </w:r>
          </w:p>
          <w:p>
            <w:pPr>
              <w:pStyle w:val="Style21"/>
              <w:spacing w:lineRule="auto"/>
              <w:jc w:val="center"/>
              <w:rPr>
                <w:rFonts w:ascii="標楷體" w:hAnsi="標楷體" w:eastAsia="標楷體" w:cs="新細明體"/>
                <w:sz w:val="26"/>
                <w:szCs w:val="26"/>
              </w:rPr>
            </w:pPr>
            <w:r>
              <w:rPr>
                <w:rFonts w:ascii="標楷體" w:hAnsi="標楷體" w:cs="新細明體" w:eastAsia="標楷體"/>
                <w:sz w:val="26"/>
                <w:szCs w:val="26"/>
              </w:rPr>
              <w:t>陳秋民教授</w:t>
            </w:r>
          </w:p>
        </w:tc>
        <w:tc>
          <w:tcPr>
            <w:tcW w:w="48" w:type="dxa"/>
            <w:tcBorders/>
            <w:shd w:fill="auto" w:val="clear"/>
            <w:tcMar>
              <w:left w:w="0" w:type="dxa"/>
              <w:right w:w="0" w:type="dxa"/>
            </w:tcMar>
          </w:tcPr>
          <w:p>
            <w:pPr>
              <w:pStyle w:val="Style21"/>
              <w:spacing w:lineRule="auto"/>
              <w:jc w:val="center"/>
              <w:rPr>
                <w:rFonts w:ascii="標楷體" w:hAnsi="標楷體" w:eastAsia="標楷體" w:cs="新細明體"/>
                <w:sz w:val="26"/>
                <w:szCs w:val="26"/>
              </w:rPr>
            </w:pPr>
            <w:r>
              <w:rPr>
                <w:rFonts w:eastAsia="標楷體" w:cs="新細明體" w:ascii="標楷體" w:hAnsi="標楷體"/>
                <w:sz w:val="26"/>
                <w:szCs w:val="26"/>
              </w:rPr>
            </w:r>
          </w:p>
        </w:tc>
      </w:tr>
      <w:tr>
        <w:trPr>
          <w:trHeight w:val="416" w:hRule="atLeast"/>
        </w:trPr>
        <w:tc>
          <w:tcPr>
            <w:tcW w:w="103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uto"/>
              <w:rPr/>
            </w:pPr>
            <w:r>
              <w:rPr>
                <w:rStyle w:val="Style14"/>
                <w:rFonts w:eastAsia="標楷體" w:cs="Calibri" w:ascii="標楷體" w:hAnsi="標楷體"/>
                <w:bCs/>
                <w:sz w:val="26"/>
                <w:szCs w:val="26"/>
              </w:rPr>
              <w:t xml:space="preserve">10:30-10:40                              </w:t>
            </w:r>
            <w:r>
              <w:rPr>
                <w:rStyle w:val="Style14"/>
                <w:rFonts w:ascii="標楷體" w:hAnsi="標楷體" w:cs="新細明體" w:eastAsia="標楷體"/>
                <w:sz w:val="26"/>
                <w:szCs w:val="26"/>
              </w:rPr>
              <w:t>中場休息</w:t>
            </w:r>
          </w:p>
        </w:tc>
        <w:tc>
          <w:tcPr>
            <w:tcW w:w="48" w:type="dxa"/>
            <w:tcBorders/>
            <w:shd w:fill="auto" w:val="clear"/>
            <w:tcMar>
              <w:left w:w="0" w:type="dxa"/>
              <w:right w:w="0" w:type="dxa"/>
            </w:tcMar>
          </w:tcPr>
          <w:p>
            <w:pPr>
              <w:pStyle w:val="Style21"/>
              <w:spacing w:lineRule="auto"/>
              <w:rPr/>
            </w:pPr>
            <w:r>
              <w:rPr/>
            </w:r>
          </w:p>
        </w:tc>
      </w:tr>
      <w:tr>
        <w:trPr>
          <w:trHeight w:val="973" w:hRule="atLeast"/>
        </w:trPr>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tLeast" w:line="440"/>
              <w:jc w:val="center"/>
              <w:rPr>
                <w:rFonts w:ascii="標楷體" w:hAnsi="標楷體" w:eastAsia="標楷體" w:cs="Calibri"/>
                <w:bCs/>
              </w:rPr>
            </w:pPr>
            <w:r>
              <w:rPr>
                <w:rFonts w:eastAsia="標楷體" w:cs="Calibri" w:ascii="標楷體" w:hAnsi="標楷體"/>
                <w:bCs/>
              </w:rPr>
              <w:t>10:40-12:10</w:t>
            </w:r>
          </w:p>
        </w:tc>
        <w:tc>
          <w:tcPr>
            <w:tcW w:w="45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uto"/>
              <w:jc w:val="center"/>
              <w:rPr>
                <w:rFonts w:ascii="標楷體" w:hAnsi="標楷體" w:eastAsia="標楷體" w:cs="新細明體"/>
                <w:sz w:val="26"/>
                <w:szCs w:val="26"/>
              </w:rPr>
            </w:pPr>
            <w:r>
              <w:rPr>
                <w:rFonts w:ascii="標楷體" w:hAnsi="標楷體" w:cs="新細明體" w:eastAsia="標楷體"/>
                <w:sz w:val="26"/>
                <w:szCs w:val="26"/>
              </w:rPr>
              <w:t>從葡萄到自動感應酒精噴霧機</w:t>
            </w:r>
          </w:p>
        </w:tc>
        <w:tc>
          <w:tcPr>
            <w:tcW w:w="4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uto"/>
              <w:jc w:val="center"/>
              <w:rPr>
                <w:rFonts w:ascii="標楷體" w:hAnsi="標楷體" w:eastAsia="標楷體" w:cs="新細明體"/>
                <w:sz w:val="26"/>
                <w:szCs w:val="26"/>
              </w:rPr>
            </w:pPr>
            <w:r>
              <w:rPr>
                <w:rFonts w:ascii="標楷體" w:hAnsi="標楷體" w:cs="新細明體" w:eastAsia="標楷體"/>
                <w:sz w:val="26"/>
                <w:szCs w:val="26"/>
              </w:rPr>
              <w:t>臺北市立大學應用物理暨化學系</w:t>
            </w:r>
          </w:p>
          <w:p>
            <w:pPr>
              <w:pStyle w:val="Style21"/>
              <w:spacing w:lineRule="auto"/>
              <w:jc w:val="center"/>
              <w:rPr/>
            </w:pPr>
            <w:r>
              <w:rPr>
                <w:rStyle w:val="Style14"/>
                <w:rFonts w:ascii="標楷體" w:hAnsi="標楷體" w:cs="新細明體" w:eastAsia="標楷體"/>
                <w:sz w:val="26"/>
                <w:szCs w:val="26"/>
              </w:rPr>
              <w:t>古建國教授</w:t>
            </w:r>
          </w:p>
        </w:tc>
        <w:tc>
          <w:tcPr>
            <w:tcW w:w="48" w:type="dxa"/>
            <w:tcBorders/>
            <w:shd w:fill="auto" w:val="clear"/>
            <w:tcMar>
              <w:left w:w="0" w:type="dxa"/>
              <w:right w:w="0" w:type="dxa"/>
            </w:tcMar>
          </w:tcPr>
          <w:p>
            <w:pPr>
              <w:pStyle w:val="Style21"/>
              <w:spacing w:lineRule="auto"/>
              <w:jc w:val="center"/>
              <w:rPr/>
            </w:pPr>
            <w:r>
              <w:rPr/>
            </w:r>
          </w:p>
        </w:tc>
      </w:tr>
      <w:tr>
        <w:trPr/>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tLeast" w:line="440"/>
              <w:jc w:val="center"/>
              <w:rPr>
                <w:rFonts w:ascii="標楷體" w:hAnsi="標楷體" w:eastAsia="標楷體" w:cs="Calibri"/>
                <w:bCs/>
              </w:rPr>
            </w:pPr>
            <w:r>
              <w:rPr>
                <w:rFonts w:eastAsia="標楷體" w:cs="Calibri" w:ascii="標楷體" w:hAnsi="標楷體"/>
                <w:bCs/>
              </w:rPr>
              <w:t>12:10-13:10</w:t>
            </w:r>
          </w:p>
        </w:tc>
        <w:tc>
          <w:tcPr>
            <w:tcW w:w="87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uto"/>
              <w:jc w:val="center"/>
              <w:rPr/>
            </w:pPr>
            <w:r>
              <w:rPr>
                <w:rStyle w:val="Style14"/>
                <w:rFonts w:ascii="標楷體" w:hAnsi="標楷體" w:cs="新細明體" w:eastAsia="標楷體"/>
              </w:rPr>
              <w:t>午餐</w:t>
            </w:r>
          </w:p>
        </w:tc>
        <w:tc>
          <w:tcPr>
            <w:tcW w:w="48" w:type="dxa"/>
            <w:tcBorders/>
            <w:shd w:fill="auto" w:val="clear"/>
            <w:tcMar>
              <w:left w:w="0" w:type="dxa"/>
              <w:right w:w="0" w:type="dxa"/>
            </w:tcMar>
          </w:tcPr>
          <w:p>
            <w:pPr>
              <w:pStyle w:val="Style21"/>
              <w:spacing w:lineRule="auto"/>
              <w:jc w:val="center"/>
              <w:rPr/>
            </w:pPr>
            <w:r>
              <w:rPr/>
            </w:r>
          </w:p>
        </w:tc>
      </w:tr>
      <w:tr>
        <w:trPr>
          <w:trHeight w:val="615" w:hRule="atLeast"/>
        </w:trPr>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tLeast" w:line="440"/>
              <w:jc w:val="center"/>
              <w:rPr>
                <w:rFonts w:ascii="標楷體" w:hAnsi="標楷體" w:eastAsia="標楷體" w:cs="Calibri"/>
                <w:bCs/>
              </w:rPr>
            </w:pPr>
            <w:r>
              <w:rPr>
                <w:rFonts w:eastAsia="標楷體" w:cs="Calibri" w:ascii="標楷體" w:hAnsi="標楷體"/>
                <w:bCs/>
              </w:rPr>
            </w:r>
          </w:p>
        </w:tc>
        <w:tc>
          <w:tcPr>
            <w:tcW w:w="87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Style21"/>
              <w:spacing w:lineRule="auto"/>
              <w:jc w:val="center"/>
              <w:rPr/>
            </w:pPr>
            <w:r>
              <w:rPr>
                <w:rStyle w:val="Style14"/>
                <w:rFonts w:ascii="標楷體" w:hAnsi="標楷體" w:eastAsia="標楷體"/>
                <w:b/>
                <w:sz w:val="32"/>
                <w:szCs w:val="32"/>
              </w:rPr>
              <w:t>工作坊場次</w:t>
            </w:r>
          </w:p>
        </w:tc>
        <w:tc>
          <w:tcPr>
            <w:tcW w:w="48" w:type="dxa"/>
            <w:tcBorders/>
            <w:shd w:fill="auto" w:val="clear"/>
            <w:tcMar>
              <w:left w:w="0" w:type="dxa"/>
              <w:right w:w="0" w:type="dxa"/>
            </w:tcMar>
          </w:tcPr>
          <w:p>
            <w:pPr>
              <w:pStyle w:val="Style21"/>
              <w:spacing w:lineRule="auto"/>
              <w:jc w:val="center"/>
              <w:rPr/>
            </w:pPr>
            <w:r>
              <w:rPr/>
            </w:r>
          </w:p>
        </w:tc>
      </w:tr>
      <w:tr>
        <w:trPr>
          <w:trHeight w:val="1170" w:hRule="atLeast"/>
        </w:trPr>
        <w:tc>
          <w:tcPr>
            <w:tcW w:w="1662" w:type="dxa"/>
            <w:vMerge w:val="restart"/>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auto" w:val="clear"/>
            <w:tcMar>
              <w:left w:w="103" w:type="dxa"/>
            </w:tcMar>
            <w:vAlign w:val="center"/>
          </w:tcPr>
          <w:p>
            <w:pPr>
              <w:pStyle w:val="Style21"/>
              <w:spacing w:lineRule="atLeast" w:line="440"/>
              <w:jc w:val="center"/>
              <w:rPr/>
            </w:pPr>
            <w:r>
              <w:rPr>
                <w:rStyle w:val="Style14"/>
                <w:rFonts w:ascii="標楷體" w:hAnsi="標楷體" w:eastAsia="標楷體"/>
                <w:bCs/>
              </w:rPr>
              <w:t>第一時段</w:t>
            </w:r>
          </w:p>
          <w:p>
            <w:pPr>
              <w:pStyle w:val="Style21"/>
              <w:spacing w:lineRule="atLeast" w:line="440"/>
              <w:jc w:val="center"/>
              <w:rPr>
                <w:rFonts w:ascii="標楷體" w:hAnsi="標楷體" w:eastAsia="標楷體"/>
                <w:bCs/>
              </w:rPr>
            </w:pPr>
            <w:r>
              <w:rPr>
                <w:rFonts w:eastAsia="標楷體" w:ascii="標楷體" w:hAnsi="標楷體"/>
                <w:bCs/>
              </w:rPr>
              <w:t>13:10-14:40</w:t>
            </w:r>
          </w:p>
          <w:p>
            <w:pPr>
              <w:pStyle w:val="Style21"/>
              <w:spacing w:lineRule="atLeast" w:line="440"/>
              <w:jc w:val="center"/>
              <w:rPr>
                <w:rFonts w:ascii="標楷體" w:hAnsi="標楷體" w:eastAsia="標楷體"/>
                <w:bCs/>
              </w:rPr>
            </w:pPr>
            <w:r>
              <w:rPr>
                <w:rFonts w:eastAsia="標楷體" w:ascii="標楷體" w:hAnsi="標楷體"/>
                <w:bCs/>
              </w:rPr>
            </w:r>
          </w:p>
          <w:p>
            <w:pPr>
              <w:pStyle w:val="Style21"/>
              <w:spacing w:lineRule="atLeast" w:line="440"/>
              <w:jc w:val="center"/>
              <w:rPr>
                <w:rFonts w:ascii="標楷體" w:hAnsi="標楷體" w:eastAsia="標楷體" w:cs="新細明體"/>
              </w:rPr>
            </w:pPr>
            <w:r>
              <w:rPr>
                <w:rFonts w:ascii="標楷體" w:hAnsi="標楷體" w:cs="新細明體" w:eastAsia="標楷體"/>
              </w:rPr>
              <w:t>茶敘(換場)</w:t>
            </w:r>
          </w:p>
          <w:p>
            <w:pPr>
              <w:pStyle w:val="Style21"/>
              <w:spacing w:lineRule="atLeast" w:line="440"/>
              <w:jc w:val="center"/>
              <w:rPr/>
            </w:pPr>
            <w:r>
              <w:rPr>
                <w:rStyle w:val="Style14"/>
                <w:rFonts w:eastAsia="標楷體" w:ascii="標楷體" w:hAnsi="標楷體"/>
                <w:bCs/>
              </w:rPr>
              <w:t>14:40-15:00</w:t>
            </w:r>
          </w:p>
          <w:p>
            <w:pPr>
              <w:pStyle w:val="Style21"/>
              <w:spacing w:lineRule="atLeast" w:line="440"/>
              <w:jc w:val="center"/>
              <w:rPr>
                <w:rFonts w:ascii="標楷體" w:hAnsi="標楷體" w:eastAsia="標楷體"/>
                <w:bCs/>
              </w:rPr>
            </w:pPr>
            <w:r>
              <w:rPr>
                <w:rFonts w:eastAsia="標楷體" w:ascii="標楷體" w:hAnsi="標楷體"/>
                <w:bCs/>
              </w:rPr>
            </w:r>
          </w:p>
          <w:p>
            <w:pPr>
              <w:pStyle w:val="Style21"/>
              <w:spacing w:lineRule="atLeast" w:line="440"/>
              <w:jc w:val="center"/>
              <w:rPr>
                <w:rFonts w:ascii="標楷體" w:hAnsi="標楷體" w:eastAsia="標楷體"/>
                <w:bCs/>
              </w:rPr>
            </w:pPr>
            <w:r>
              <w:rPr>
                <w:rFonts w:ascii="標楷體" w:hAnsi="標楷體" w:eastAsia="標楷體"/>
                <w:bCs/>
              </w:rPr>
              <w:t>第二時段</w:t>
            </w:r>
          </w:p>
          <w:p>
            <w:pPr>
              <w:pStyle w:val="Style21"/>
              <w:spacing w:lineRule="atLeast" w:line="440"/>
              <w:jc w:val="center"/>
              <w:rPr>
                <w:rFonts w:ascii="標楷體" w:hAnsi="標楷體" w:eastAsia="標楷體"/>
                <w:bCs/>
              </w:rPr>
            </w:pPr>
            <w:r>
              <w:rPr>
                <w:rFonts w:eastAsia="標楷體" w:ascii="標楷體" w:hAnsi="標楷體"/>
                <w:bCs/>
              </w:rPr>
              <w:t>15:00-16:30</w:t>
            </w:r>
          </w:p>
        </w:tc>
        <w:tc>
          <w:tcPr>
            <w:tcW w:w="1245" w:type="dxa"/>
            <w:tcBorders>
              <w:top w:val="single" w:sz="4" w:space="0" w:color="000000"/>
              <w:left w:val="single" w:sz="4" w:space="0" w:color="000000"/>
              <w:right w:val="single" w:sz="4" w:space="0" w:color="000000"/>
              <w:insideV w:val="single" w:sz="4" w:space="0" w:color="000000"/>
            </w:tcBorders>
            <w:shd w:fill="FFFFFF" w:val="clear"/>
            <w:tcMar>
              <w:left w:w="103" w:type="dxa"/>
            </w:tcMar>
            <w:vAlign w:val="center"/>
          </w:tcPr>
          <w:p>
            <w:pPr>
              <w:pStyle w:val="Style21"/>
              <w:spacing w:lineRule="auto"/>
              <w:jc w:val="center"/>
              <w:rPr>
                <w:rFonts w:ascii="標楷體" w:hAnsi="標楷體" w:eastAsia="標楷體"/>
                <w:sz w:val="26"/>
                <w:szCs w:val="26"/>
              </w:rPr>
            </w:pPr>
            <w:r>
              <w:rPr>
                <w:rFonts w:ascii="標楷體" w:hAnsi="標楷體" w:eastAsia="標楷體"/>
                <w:sz w:val="26"/>
                <w:szCs w:val="26"/>
              </w:rPr>
              <w:t>場次一</w:t>
            </w:r>
          </w:p>
          <w:p>
            <w:pPr>
              <w:pStyle w:val="Style21"/>
              <w:spacing w:lineRule="auto"/>
              <w:jc w:val="center"/>
              <w:rPr/>
            </w:pPr>
            <w:r>
              <w:rPr>
                <w:rStyle w:val="Style14"/>
                <w:rFonts w:ascii="標楷體" w:hAnsi="標楷體" w:eastAsia="標楷體"/>
                <w:sz w:val="26"/>
                <w:szCs w:val="26"/>
              </w:rPr>
              <w:t>（</w:t>
            </w:r>
            <w:r>
              <w:rPr>
                <w:rStyle w:val="Style14"/>
                <w:rFonts w:eastAsia="標楷體" w:ascii="標楷體" w:hAnsi="標楷體"/>
                <w:sz w:val="26"/>
                <w:szCs w:val="26"/>
              </w:rPr>
              <w:t>R704</w:t>
            </w:r>
            <w:r>
              <w:rPr>
                <w:rStyle w:val="Style14"/>
                <w:rFonts w:ascii="標楷體" w:hAnsi="標楷體" w:eastAsia="標楷體"/>
                <w:sz w:val="26"/>
                <w:szCs w:val="26"/>
              </w:rPr>
              <w:t>）</w:t>
            </w:r>
          </w:p>
        </w:tc>
        <w:tc>
          <w:tcPr>
            <w:tcW w:w="1751" w:type="dxa"/>
            <w:tcBorders>
              <w:top w:val="single" w:sz="4" w:space="0" w:color="000000"/>
              <w:left w:val="single" w:sz="4" w:space="0" w:color="000000"/>
              <w:right w:val="single" w:sz="4" w:space="0" w:color="000000"/>
              <w:insideV w:val="single" w:sz="4" w:space="0" w:color="000000"/>
            </w:tcBorders>
            <w:shd w:fill="FFFFFF" w:val="clear"/>
            <w:tcMar>
              <w:left w:w="103" w:type="dxa"/>
            </w:tcMar>
            <w:vAlign w:val="center"/>
          </w:tcPr>
          <w:p>
            <w:pPr>
              <w:pStyle w:val="Style21"/>
              <w:spacing w:lineRule="auto"/>
              <w:jc w:val="center"/>
              <w:rPr>
                <w:rFonts w:ascii="標楷體" w:hAnsi="標楷體" w:eastAsia="標楷體"/>
                <w:sz w:val="26"/>
                <w:szCs w:val="26"/>
              </w:rPr>
            </w:pPr>
            <w:r>
              <w:rPr>
                <w:rFonts w:ascii="標楷體" w:hAnsi="標楷體" w:eastAsia="標楷體"/>
                <w:sz w:val="26"/>
                <w:szCs w:val="26"/>
              </w:rPr>
              <w:t>東吳物理系</w:t>
            </w:r>
          </w:p>
          <w:p>
            <w:pPr>
              <w:pStyle w:val="Style21"/>
              <w:spacing w:lineRule="auto"/>
              <w:jc w:val="center"/>
              <w:rPr/>
            </w:pPr>
            <w:r>
              <w:rPr>
                <w:rStyle w:val="Style14"/>
                <w:rFonts w:ascii="標楷體" w:hAnsi="標楷體" w:eastAsia="標楷體"/>
                <w:sz w:val="26"/>
                <w:szCs w:val="26"/>
              </w:rPr>
              <w:t>張有毅</w:t>
            </w:r>
            <w:r>
              <w:rPr>
                <w:rStyle w:val="Style14"/>
                <w:rFonts w:ascii="標楷體" w:hAnsi="標楷體" w:cs="新細明體" w:eastAsia="標楷體"/>
                <w:sz w:val="26"/>
                <w:szCs w:val="26"/>
              </w:rPr>
              <w:t>教授</w:t>
            </w:r>
          </w:p>
        </w:tc>
        <w:tc>
          <w:tcPr>
            <w:tcW w:w="5753" w:type="dxa"/>
            <w:gridSpan w:val="3"/>
            <w:tcBorders>
              <w:top w:val="single" w:sz="4" w:space="0" w:color="000000"/>
              <w:left w:val="single" w:sz="4" w:space="0" w:color="000000"/>
              <w:right w:val="single" w:sz="4" w:space="0" w:color="000000"/>
              <w:insideV w:val="single" w:sz="4" w:space="0" w:color="000000"/>
            </w:tcBorders>
            <w:shd w:fill="FFFFFF" w:val="clear"/>
            <w:tcMar>
              <w:left w:w="103" w:type="dxa"/>
            </w:tcMar>
            <w:vAlign w:val="center"/>
          </w:tcPr>
          <w:p>
            <w:pPr>
              <w:pStyle w:val="Style21"/>
              <w:spacing w:lineRule="auto"/>
              <w:jc w:val="distribute"/>
              <w:rPr>
                <w:rFonts w:ascii="標楷體" w:hAnsi="標楷體" w:eastAsia="標楷體"/>
                <w:sz w:val="26"/>
                <w:szCs w:val="26"/>
              </w:rPr>
            </w:pPr>
            <w:r>
              <w:rPr>
                <w:rFonts w:ascii="標楷體" w:hAnsi="標楷體" w:eastAsia="標楷體"/>
                <w:sz w:val="26"/>
                <w:szCs w:val="26"/>
              </w:rPr>
              <w:t>主題：口罩效能簡易量測</w:t>
            </w:r>
          </w:p>
        </w:tc>
      </w:tr>
      <w:tr>
        <w:trPr>
          <w:trHeight w:val="1170" w:hRule="atLeast"/>
        </w:trPr>
        <w:tc>
          <w:tcPr>
            <w:tcW w:w="1662" w:type="dxa"/>
            <w:vMerge w:val="continue"/>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auto" w:val="clear"/>
            <w:tcMar>
              <w:left w:w="103" w:type="dxa"/>
            </w:tcMar>
            <w:vAlign w:val="center"/>
          </w:tcPr>
          <w:p>
            <w:pPr>
              <w:pStyle w:val="Normal"/>
              <w:rPr/>
            </w:pPr>
            <w:r>
              <w:rPr/>
            </w:r>
          </w:p>
        </w:tc>
        <w:tc>
          <w:tcPr>
            <w:tcW w:w="1245" w:type="dxa"/>
            <w:tcBorders>
              <w:top w:val="single" w:sz="4" w:space="0" w:color="000000"/>
              <w:left w:val="single" w:sz="4" w:space="0" w:color="000000"/>
              <w:right w:val="single" w:sz="4" w:space="0" w:color="000000"/>
              <w:insideV w:val="single" w:sz="4" w:space="0" w:color="000000"/>
            </w:tcBorders>
            <w:shd w:fill="FFFFFF" w:val="clear"/>
            <w:tcMar>
              <w:left w:w="103" w:type="dxa"/>
            </w:tcMar>
            <w:vAlign w:val="center"/>
          </w:tcPr>
          <w:p>
            <w:pPr>
              <w:pStyle w:val="Style21"/>
              <w:spacing w:lineRule="auto"/>
              <w:jc w:val="center"/>
              <w:rPr>
                <w:rFonts w:ascii="標楷體" w:hAnsi="標楷體" w:eastAsia="標楷體"/>
                <w:sz w:val="26"/>
                <w:szCs w:val="26"/>
              </w:rPr>
            </w:pPr>
            <w:r>
              <w:rPr>
                <w:rFonts w:ascii="標楷體" w:hAnsi="標楷體" w:eastAsia="標楷體"/>
                <w:sz w:val="26"/>
                <w:szCs w:val="26"/>
              </w:rPr>
              <w:t>場次二</w:t>
            </w:r>
          </w:p>
          <w:p>
            <w:pPr>
              <w:pStyle w:val="Style21"/>
              <w:spacing w:lineRule="auto"/>
              <w:jc w:val="center"/>
              <w:rPr>
                <w:rFonts w:ascii="標楷體" w:hAnsi="標楷體" w:eastAsia="標楷體"/>
                <w:sz w:val="26"/>
                <w:szCs w:val="26"/>
              </w:rPr>
            </w:pPr>
            <w:r>
              <w:rPr>
                <w:rFonts w:ascii="標楷體" w:hAnsi="標楷體" w:eastAsia="標楷體"/>
                <w:sz w:val="26"/>
                <w:szCs w:val="26"/>
              </w:rPr>
              <w:t>（</w:t>
            </w:r>
            <w:r>
              <w:rPr>
                <w:rFonts w:eastAsia="標楷體" w:ascii="標楷體" w:hAnsi="標楷體"/>
                <w:sz w:val="26"/>
                <w:szCs w:val="26"/>
              </w:rPr>
              <w:t>R609</w:t>
            </w:r>
            <w:r>
              <w:rPr>
                <w:rFonts w:ascii="標楷體" w:hAnsi="標楷體" w:eastAsia="標楷體"/>
                <w:sz w:val="26"/>
                <w:szCs w:val="26"/>
              </w:rPr>
              <w:t>）</w:t>
            </w:r>
          </w:p>
        </w:tc>
        <w:tc>
          <w:tcPr>
            <w:tcW w:w="1751" w:type="dxa"/>
            <w:tcBorders>
              <w:top w:val="single" w:sz="4" w:space="0" w:color="000000"/>
              <w:left w:val="single" w:sz="4" w:space="0" w:color="000000"/>
              <w:right w:val="single" w:sz="4" w:space="0" w:color="000000"/>
              <w:insideV w:val="single" w:sz="4" w:space="0" w:color="000000"/>
            </w:tcBorders>
            <w:shd w:fill="FFFFFF" w:val="clear"/>
            <w:tcMar>
              <w:left w:w="103" w:type="dxa"/>
            </w:tcMar>
            <w:vAlign w:val="center"/>
          </w:tcPr>
          <w:p>
            <w:pPr>
              <w:pStyle w:val="Style21"/>
              <w:spacing w:lineRule="auto"/>
              <w:jc w:val="center"/>
              <w:rPr>
                <w:rFonts w:ascii="標楷體" w:hAnsi="標楷體" w:eastAsia="標楷體"/>
                <w:sz w:val="26"/>
                <w:szCs w:val="26"/>
              </w:rPr>
            </w:pPr>
            <w:r>
              <w:rPr>
                <w:rFonts w:ascii="標楷體" w:hAnsi="標楷體" w:eastAsia="標楷體"/>
                <w:sz w:val="26"/>
                <w:szCs w:val="26"/>
              </w:rPr>
              <w:t>東吳物理系</w:t>
            </w:r>
          </w:p>
          <w:p>
            <w:pPr>
              <w:pStyle w:val="Style21"/>
              <w:spacing w:lineRule="auto"/>
              <w:jc w:val="center"/>
              <w:rPr/>
            </w:pPr>
            <w:r>
              <w:rPr>
                <w:rStyle w:val="Style14"/>
                <w:rFonts w:ascii="標楷體" w:hAnsi="標楷體" w:eastAsia="標楷體"/>
                <w:sz w:val="26"/>
                <w:szCs w:val="26"/>
              </w:rPr>
              <w:t>齊祖康</w:t>
            </w:r>
            <w:r>
              <w:rPr>
                <w:rStyle w:val="Style14"/>
                <w:rFonts w:ascii="標楷體" w:hAnsi="標楷體" w:cs="新細明體" w:eastAsia="標楷體"/>
                <w:sz w:val="26"/>
                <w:szCs w:val="26"/>
              </w:rPr>
              <w:t>教授</w:t>
            </w:r>
          </w:p>
        </w:tc>
        <w:tc>
          <w:tcPr>
            <w:tcW w:w="5753" w:type="dxa"/>
            <w:gridSpan w:val="3"/>
            <w:tcBorders>
              <w:top w:val="single" w:sz="4" w:space="0" w:color="000000"/>
              <w:left w:val="single" w:sz="4" w:space="0" w:color="000000"/>
              <w:right w:val="single" w:sz="4" w:space="0" w:color="000000"/>
              <w:insideV w:val="single" w:sz="4" w:space="0" w:color="000000"/>
            </w:tcBorders>
            <w:shd w:fill="FFFFFF" w:val="clear"/>
            <w:tcMar>
              <w:left w:w="103" w:type="dxa"/>
            </w:tcMar>
            <w:vAlign w:val="center"/>
          </w:tcPr>
          <w:p>
            <w:pPr>
              <w:pStyle w:val="Style21"/>
              <w:spacing w:lineRule="auto"/>
              <w:jc w:val="distribute"/>
              <w:rPr>
                <w:rFonts w:ascii="標楷體" w:hAnsi="標楷體" w:eastAsia="標楷體"/>
                <w:sz w:val="26"/>
                <w:szCs w:val="26"/>
              </w:rPr>
            </w:pPr>
            <w:r>
              <w:rPr>
                <w:rFonts w:ascii="標楷體" w:hAnsi="標楷體" w:eastAsia="標楷體"/>
                <w:sz w:val="26"/>
                <w:szCs w:val="26"/>
              </w:rPr>
              <w:t>主題：你發燒了嗎?</w:t>
            </w:r>
          </w:p>
          <w:p>
            <w:pPr>
              <w:pStyle w:val="Style21"/>
              <w:spacing w:lineRule="auto"/>
              <w:jc w:val="distribute"/>
              <w:rPr/>
            </w:pPr>
            <w:r>
              <w:rPr>
                <w:rStyle w:val="Style14"/>
                <w:rFonts w:ascii="標楷體" w:hAnsi="標楷體" w:eastAsia="標楷體"/>
                <w:sz w:val="26"/>
                <w:szCs w:val="26"/>
              </w:rPr>
              <w:t xml:space="preserve">      </w:t>
            </w:r>
            <w:r>
              <w:rPr>
                <w:rStyle w:val="Style14"/>
                <w:rFonts w:ascii="標楷體" w:hAnsi="標楷體" w:eastAsia="標楷體"/>
                <w:sz w:val="26"/>
                <w:szCs w:val="26"/>
              </w:rPr>
              <w:t>額溫槍準確度測試及探究實作</w:t>
            </w:r>
          </w:p>
        </w:tc>
      </w:tr>
      <w:tr>
        <w:trPr>
          <w:trHeight w:val="1170" w:hRule="atLeast"/>
        </w:trPr>
        <w:tc>
          <w:tcPr>
            <w:tcW w:w="1662" w:type="dxa"/>
            <w:vMerge w:val="continue"/>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auto" w:val="clear"/>
            <w:tcMar>
              <w:left w:w="103" w:type="dxa"/>
            </w:tcMar>
            <w:vAlign w:val="center"/>
          </w:tcPr>
          <w:p>
            <w:pPr>
              <w:pStyle w:val="Normal"/>
              <w:rPr/>
            </w:pPr>
            <w:r>
              <w:rPr/>
            </w:r>
          </w:p>
        </w:tc>
        <w:tc>
          <w:tcPr>
            <w:tcW w:w="1245" w:type="dxa"/>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FFFFFF" w:val="clear"/>
            <w:tcMar>
              <w:left w:w="103" w:type="dxa"/>
            </w:tcMar>
            <w:vAlign w:val="center"/>
          </w:tcPr>
          <w:p>
            <w:pPr>
              <w:pStyle w:val="Style21"/>
              <w:spacing w:lineRule="auto"/>
              <w:jc w:val="center"/>
              <w:rPr>
                <w:rFonts w:ascii="標楷體" w:hAnsi="標楷體" w:eastAsia="標楷體"/>
                <w:sz w:val="26"/>
                <w:szCs w:val="26"/>
              </w:rPr>
            </w:pPr>
            <w:r>
              <w:rPr>
                <w:rFonts w:ascii="標楷體" w:hAnsi="標楷體" w:eastAsia="標楷體"/>
                <w:sz w:val="26"/>
                <w:szCs w:val="26"/>
              </w:rPr>
              <w:t>場次三</w:t>
            </w:r>
          </w:p>
          <w:p>
            <w:pPr>
              <w:pStyle w:val="Style21"/>
              <w:spacing w:lineRule="auto"/>
              <w:jc w:val="center"/>
              <w:rPr>
                <w:rFonts w:ascii="標楷體" w:hAnsi="標楷體" w:eastAsia="標楷體"/>
                <w:sz w:val="26"/>
                <w:szCs w:val="26"/>
              </w:rPr>
            </w:pPr>
            <w:r>
              <w:rPr>
                <w:rFonts w:ascii="標楷體" w:hAnsi="標楷體" w:eastAsia="標楷體"/>
                <w:sz w:val="26"/>
                <w:szCs w:val="26"/>
              </w:rPr>
              <w:t>（</w:t>
            </w:r>
            <w:r>
              <w:rPr>
                <w:rFonts w:eastAsia="標楷體" w:ascii="標楷體" w:hAnsi="標楷體"/>
                <w:sz w:val="26"/>
                <w:szCs w:val="26"/>
              </w:rPr>
              <w:t>R604</w:t>
            </w:r>
            <w:r>
              <w:rPr>
                <w:rFonts w:ascii="標楷體" w:hAnsi="標楷體" w:eastAsia="標楷體"/>
                <w:sz w:val="26"/>
                <w:szCs w:val="26"/>
              </w:rPr>
              <w:t>）</w:t>
            </w:r>
          </w:p>
        </w:tc>
        <w:tc>
          <w:tcPr>
            <w:tcW w:w="1751" w:type="dxa"/>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FFFFFF" w:val="clear"/>
            <w:tcMar>
              <w:left w:w="103" w:type="dxa"/>
            </w:tcMar>
            <w:vAlign w:val="center"/>
          </w:tcPr>
          <w:p>
            <w:pPr>
              <w:pStyle w:val="Style21"/>
              <w:spacing w:lineRule="auto"/>
              <w:jc w:val="center"/>
              <w:rPr>
                <w:rFonts w:ascii="標楷體" w:hAnsi="標楷體" w:eastAsia="標楷體"/>
                <w:sz w:val="26"/>
                <w:szCs w:val="26"/>
              </w:rPr>
            </w:pPr>
            <w:r>
              <w:rPr>
                <w:rFonts w:ascii="標楷體" w:hAnsi="標楷體" w:eastAsia="標楷體"/>
                <w:sz w:val="26"/>
                <w:szCs w:val="26"/>
              </w:rPr>
              <w:t>東吳物理系</w:t>
            </w:r>
          </w:p>
          <w:p>
            <w:pPr>
              <w:pStyle w:val="Style21"/>
              <w:spacing w:lineRule="auto"/>
              <w:jc w:val="center"/>
              <w:rPr>
                <w:rFonts w:ascii="標楷體" w:hAnsi="標楷體" w:eastAsia="標楷體"/>
                <w:sz w:val="26"/>
                <w:szCs w:val="26"/>
              </w:rPr>
            </w:pPr>
            <w:r>
              <w:rPr>
                <w:rFonts w:ascii="標楷體" w:hAnsi="標楷體" w:eastAsia="標楷體"/>
                <w:sz w:val="26"/>
                <w:szCs w:val="26"/>
              </w:rPr>
              <w:t>林之淵教授</w:t>
            </w:r>
          </w:p>
        </w:tc>
        <w:tc>
          <w:tcPr>
            <w:tcW w:w="5753" w:type="dxa"/>
            <w:gridSpan w:val="3"/>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FFFFFF" w:val="clear"/>
            <w:tcMar>
              <w:left w:w="103" w:type="dxa"/>
            </w:tcMar>
            <w:vAlign w:val="center"/>
          </w:tcPr>
          <w:p>
            <w:pPr>
              <w:pStyle w:val="Style21"/>
              <w:spacing w:lineRule="auto"/>
              <w:jc w:val="distribute"/>
              <w:rPr/>
            </w:pPr>
            <w:r>
              <w:rPr>
                <w:rStyle w:val="Style14"/>
                <w:rFonts w:ascii="標楷體" w:hAnsi="標楷體" w:eastAsia="標楷體"/>
                <w:sz w:val="26"/>
                <w:szCs w:val="26"/>
              </w:rPr>
              <w:t>主題：由防疫酒精談濃度與表面張力的物理</w:t>
            </w:r>
          </w:p>
        </w:tc>
      </w:tr>
      <w:tr>
        <w:trPr>
          <w:trHeight w:val="826" w:hRule="atLeast"/>
        </w:trPr>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tLeast" w:line="440"/>
              <w:jc w:val="center"/>
              <w:rPr>
                <w:rFonts w:ascii="標楷體" w:hAnsi="標楷體" w:eastAsia="標楷體" w:cs="Calibri"/>
                <w:bCs/>
              </w:rPr>
            </w:pPr>
            <w:r>
              <w:rPr>
                <w:rFonts w:eastAsia="標楷體" w:cs="Calibri" w:ascii="標楷體" w:hAnsi="標楷體"/>
                <w:bCs/>
              </w:rPr>
              <w:t>16:30-17:00</w:t>
            </w:r>
          </w:p>
        </w:tc>
        <w:tc>
          <w:tcPr>
            <w:tcW w:w="87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tLeast" w:line="440"/>
              <w:jc w:val="center"/>
              <w:rPr/>
            </w:pPr>
            <w:r>
              <w:rPr>
                <w:rStyle w:val="Style14"/>
                <w:rFonts w:ascii="標楷體" w:hAnsi="標楷體" w:cs="新細明體" w:eastAsia="標楷體"/>
              </w:rPr>
              <w:t>反饋與檢討</w:t>
            </w:r>
          </w:p>
        </w:tc>
        <w:tc>
          <w:tcPr>
            <w:tcW w:w="48" w:type="dxa"/>
            <w:tcBorders/>
            <w:shd w:fill="auto" w:val="clear"/>
            <w:tcMar>
              <w:left w:w="0" w:type="dxa"/>
              <w:right w:w="0" w:type="dxa"/>
            </w:tcMar>
          </w:tcPr>
          <w:p>
            <w:pPr>
              <w:pStyle w:val="Style21"/>
              <w:spacing w:lineRule="atLeast" w:line="440"/>
              <w:jc w:val="center"/>
              <w:rPr/>
            </w:pPr>
            <w:r>
              <w:rPr/>
            </w:r>
          </w:p>
        </w:tc>
      </w:tr>
      <w:tr>
        <w:trPr>
          <w:trHeight w:val="826" w:hRule="atLeast"/>
        </w:trPr>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tLeast" w:line="440"/>
              <w:jc w:val="center"/>
              <w:rPr>
                <w:rFonts w:ascii="標楷體" w:hAnsi="標楷體" w:eastAsia="標楷體" w:cs="Calibri"/>
                <w:bCs/>
              </w:rPr>
            </w:pPr>
            <w:r>
              <w:rPr>
                <w:rFonts w:eastAsia="標楷體" w:cs="Calibri" w:ascii="標楷體" w:hAnsi="標楷體"/>
                <w:bCs/>
              </w:rPr>
              <w:t>17:10</w:t>
            </w:r>
          </w:p>
        </w:tc>
        <w:tc>
          <w:tcPr>
            <w:tcW w:w="87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pacing w:lineRule="atLeast" w:line="440"/>
              <w:jc w:val="center"/>
              <w:rPr>
                <w:rFonts w:ascii="標楷體" w:hAnsi="標楷體" w:eastAsia="標楷體" w:cs="新細明體"/>
              </w:rPr>
            </w:pPr>
            <w:r>
              <w:rPr>
                <w:rFonts w:ascii="標楷體" w:hAnsi="標楷體" w:cs="新細明體" w:eastAsia="標楷體"/>
              </w:rPr>
              <w:t>賦歸</w:t>
            </w:r>
          </w:p>
        </w:tc>
        <w:tc>
          <w:tcPr>
            <w:tcW w:w="48" w:type="dxa"/>
            <w:tcBorders/>
            <w:shd w:fill="auto" w:val="clear"/>
            <w:tcMar>
              <w:left w:w="0" w:type="dxa"/>
              <w:right w:w="0" w:type="dxa"/>
            </w:tcMar>
          </w:tcPr>
          <w:p>
            <w:pPr>
              <w:pStyle w:val="Style21"/>
              <w:spacing w:lineRule="atLeast" w:line="440"/>
              <w:jc w:val="center"/>
              <w:rPr>
                <w:rFonts w:ascii="標楷體" w:hAnsi="標楷體" w:eastAsia="標楷體" w:cs="新細明體"/>
              </w:rPr>
            </w:pPr>
            <w:r>
              <w:rPr>
                <w:rFonts w:eastAsia="標楷體" w:cs="新細明體" w:ascii="標楷體" w:hAnsi="標楷體"/>
              </w:rPr>
            </w:r>
          </w:p>
        </w:tc>
      </w:tr>
    </w:tbl>
    <w:p>
      <w:pPr>
        <w:pStyle w:val="Style21"/>
        <w:spacing w:lineRule="exact" w:line="500"/>
        <w:rPr>
          <w:rFonts w:ascii="標楷體" w:hAnsi="標楷體" w:eastAsia="標楷體"/>
          <w:color w:val="000000"/>
          <w:sz w:val="26"/>
          <w:szCs w:val="26"/>
        </w:rPr>
      </w:pPr>
      <w:r>
        <w:rPr>
          <w:rFonts w:eastAsia="標楷體" w:ascii="標楷體" w:hAnsi="標楷體"/>
          <w:color w:val="000000"/>
          <w:sz w:val="26"/>
          <w:szCs w:val="26"/>
        </w:rPr>
      </w:r>
      <w:r>
        <w:br w:type="page"/>
      </w:r>
    </w:p>
    <w:p>
      <w:pPr>
        <w:pStyle w:val="Style21"/>
        <w:spacing w:lineRule="exact" w:line="500" w:before="0" w:after="180"/>
        <w:rPr/>
      </w:pPr>
      <w:r>
        <w:rPr>
          <w:rStyle w:val="Style14"/>
          <w:rFonts w:ascii="標楷體" w:hAnsi="標楷體" w:eastAsia="標楷體"/>
          <w:b/>
          <w:color w:val="000000"/>
          <w:sz w:val="26"/>
          <w:szCs w:val="26"/>
        </w:rPr>
        <w:t>拾、工作坊摘要</w:t>
      </w:r>
    </w:p>
    <w:p>
      <w:pPr>
        <w:pStyle w:val="Style21"/>
        <w:spacing w:lineRule="exact" w:line="500"/>
        <w:rPr>
          <w:rFonts w:ascii="標楷體" w:hAnsi="標楷體" w:eastAsia="標楷體"/>
          <w:b/>
          <w:b/>
          <w:color w:val="000000"/>
          <w:sz w:val="26"/>
          <w:szCs w:val="26"/>
        </w:rPr>
      </w:pPr>
      <w:r>
        <w:rPr>
          <w:rFonts w:ascii="標楷體" w:hAnsi="標楷體" w:eastAsia="標楷體"/>
          <w:b/>
          <w:color w:val="000000"/>
          <w:sz w:val="26"/>
          <w:szCs w:val="26"/>
        </w:rPr>
        <w:t>工作坊</w:t>
      </w:r>
      <w:r>
        <w:rPr>
          <w:rFonts w:eastAsia="標楷體" w:ascii="標楷體" w:hAnsi="標楷體"/>
          <w:b/>
          <w:color w:val="000000"/>
          <w:sz w:val="26"/>
          <w:szCs w:val="26"/>
        </w:rPr>
        <w:t>1</w:t>
      </w:r>
      <w:r>
        <w:rPr>
          <w:rFonts w:ascii="標楷體" w:hAnsi="標楷體" w:eastAsia="標楷體"/>
          <w:b/>
          <w:color w:val="000000"/>
          <w:sz w:val="26"/>
          <w:szCs w:val="26"/>
        </w:rPr>
        <w:t>：口罩效能簡易量測</w:t>
      </w:r>
    </w:p>
    <w:p>
      <w:pPr>
        <w:pStyle w:val="Style21"/>
        <w:spacing w:lineRule="exact" w:line="500"/>
        <w:rPr>
          <w:rFonts w:ascii="標楷體" w:hAnsi="標楷體" w:eastAsia="標楷體"/>
          <w:color w:val="000000"/>
          <w:sz w:val="26"/>
          <w:szCs w:val="26"/>
        </w:rPr>
      </w:pPr>
      <w:r>
        <w:rPr>
          <w:rFonts w:ascii="標楷體" w:hAnsi="標楷體" w:eastAsia="標楷體"/>
          <w:color w:val="000000"/>
          <w:sz w:val="26"/>
          <w:szCs w:val="26"/>
        </w:rPr>
        <w:t>實驗目的：自製簡易之靜電場量測儀來檢查醫療用口罩之靜電吸附層的功能。</w:t>
      </w:r>
    </w:p>
    <w:p>
      <w:pPr>
        <w:pStyle w:val="Style21"/>
        <w:spacing w:lineRule="exact" w:line="500"/>
        <w:rPr>
          <w:rFonts w:ascii="標楷體" w:hAnsi="標楷體" w:eastAsia="標楷體"/>
          <w:color w:val="000000"/>
          <w:sz w:val="26"/>
          <w:szCs w:val="26"/>
        </w:rPr>
      </w:pPr>
      <w:r>
        <w:rPr>
          <w:rFonts w:ascii="標楷體" w:hAnsi="標楷體" w:eastAsia="標楷體"/>
          <w:color w:val="000000"/>
          <w:sz w:val="26"/>
          <w:szCs w:val="26"/>
        </w:rPr>
        <w:t>實驗簡介：一般醫療用之結構為三層。外層為防水層，材質為聚丙烯（</w:t>
      </w:r>
      <w:r>
        <w:rPr>
          <w:rFonts w:eastAsia="標楷體" w:ascii="標楷體" w:hAnsi="標楷體"/>
          <w:color w:val="000000"/>
          <w:sz w:val="26"/>
          <w:szCs w:val="26"/>
        </w:rPr>
        <w:t>PP</w:t>
      </w:r>
      <w:r>
        <w:rPr>
          <w:rFonts w:ascii="標楷體" w:hAnsi="標楷體" w:eastAsia="標楷體"/>
          <w:color w:val="000000"/>
          <w:sz w:val="26"/>
          <w:szCs w:val="26"/>
        </w:rPr>
        <w:t>）防潑水不織布。中層為吸附層，材質為融噴（</w:t>
      </w:r>
      <w:r>
        <w:rPr>
          <w:rFonts w:eastAsia="標楷體" w:ascii="標楷體" w:hAnsi="標楷體"/>
          <w:color w:val="000000"/>
          <w:sz w:val="26"/>
          <w:szCs w:val="26"/>
        </w:rPr>
        <w:t>Melt Blown</w:t>
      </w:r>
      <w:r>
        <w:rPr>
          <w:rFonts w:ascii="標楷體" w:hAnsi="標楷體" w:eastAsia="標楷體"/>
          <w:color w:val="000000"/>
          <w:sz w:val="26"/>
          <w:szCs w:val="26"/>
        </w:rPr>
        <w:t>）不織布，具靜電吸附功能。內層為吸水層，材質則是聚丙烯或聚乙烯（</w:t>
      </w:r>
      <w:r>
        <w:rPr>
          <w:rFonts w:eastAsia="標楷體" w:ascii="標楷體" w:hAnsi="標楷體"/>
          <w:color w:val="000000"/>
          <w:sz w:val="26"/>
          <w:szCs w:val="26"/>
        </w:rPr>
        <w:t>PP</w:t>
      </w:r>
      <w:r>
        <w:rPr>
          <w:rFonts w:ascii="標楷體" w:hAnsi="標楷體" w:eastAsia="標楷體"/>
          <w:color w:val="000000"/>
          <w:sz w:val="26"/>
          <w:szCs w:val="26"/>
        </w:rPr>
        <w:t>或</w:t>
      </w:r>
      <w:r>
        <w:rPr>
          <w:rFonts w:eastAsia="標楷體" w:ascii="標楷體" w:hAnsi="標楷體"/>
          <w:color w:val="000000"/>
          <w:sz w:val="26"/>
          <w:szCs w:val="26"/>
        </w:rPr>
        <w:t>PE</w:t>
      </w:r>
      <w:r>
        <w:rPr>
          <w:rFonts w:ascii="標楷體" w:hAnsi="標楷體" w:eastAsia="標楷體"/>
          <w:color w:val="000000"/>
          <w:sz w:val="26"/>
          <w:szCs w:val="26"/>
        </w:rPr>
        <w:t>）親膚性不織布。而外層之功能為阻隔帶有病原的飛沫或血液附著。而中層因為帶靜電而有吸附功能，能濾除百分之九十以上的</w:t>
      </w:r>
      <w:r>
        <w:rPr>
          <w:rFonts w:eastAsia="標楷體" w:ascii="標楷體" w:hAnsi="標楷體"/>
          <w:color w:val="000000"/>
          <w:sz w:val="26"/>
          <w:szCs w:val="26"/>
        </w:rPr>
        <w:t>5</w:t>
      </w:r>
      <w:r>
        <w:rPr>
          <w:rFonts w:ascii="標楷體" w:hAnsi="標楷體" w:eastAsia="標楷體"/>
          <w:color w:val="000000"/>
          <w:sz w:val="26"/>
          <w:szCs w:val="26"/>
        </w:rPr>
        <w:t>微米顆粒（約是細胞和較大細菌大小），是主要防護層。而內層設計在吸收口水、汗水、以期長時間配戴仍能乾爽。若口罩經過使用後，其靜電便會逐漸減弱，最後會消失而無過濾功能。本實驗之目的在用自製之靜電場量測儀來測量口罩靜電層之強度，以決定口罩是否仍然堪用。</w:t>
      </w:r>
    </w:p>
    <w:p>
      <w:pPr>
        <w:pStyle w:val="Style21"/>
        <w:spacing w:lineRule="exact" w:line="500" w:before="360" w:after="0"/>
        <w:rPr>
          <w:rFonts w:ascii="標楷體" w:hAnsi="標楷體" w:eastAsia="標楷體"/>
          <w:b/>
          <w:b/>
          <w:color w:val="000000"/>
          <w:sz w:val="26"/>
          <w:szCs w:val="26"/>
        </w:rPr>
      </w:pPr>
      <w:r>
        <w:rPr>
          <w:rFonts w:ascii="標楷體" w:hAnsi="標楷體" w:eastAsia="標楷體"/>
          <w:b/>
          <w:color w:val="000000"/>
          <w:sz w:val="26"/>
          <w:szCs w:val="26"/>
        </w:rPr>
        <w:t>工作坊</w:t>
      </w:r>
      <w:r>
        <w:rPr>
          <w:rFonts w:eastAsia="標楷體" w:ascii="標楷體" w:hAnsi="標楷體"/>
          <w:b/>
          <w:color w:val="000000"/>
          <w:sz w:val="26"/>
          <w:szCs w:val="26"/>
        </w:rPr>
        <w:t>2</w:t>
      </w:r>
      <w:r>
        <w:rPr>
          <w:rFonts w:ascii="標楷體" w:hAnsi="標楷體" w:eastAsia="標楷體"/>
          <w:b/>
          <w:color w:val="000000"/>
          <w:sz w:val="26"/>
          <w:szCs w:val="26"/>
        </w:rPr>
        <w:t>：你發燒了嗎?--額溫槍準確度測試及探究實作</w:t>
      </w:r>
    </w:p>
    <w:p>
      <w:pPr>
        <w:pStyle w:val="Style21"/>
        <w:spacing w:lineRule="exact" w:line="500"/>
        <w:rPr>
          <w:rFonts w:ascii="標楷體" w:hAnsi="標楷體" w:eastAsia="標楷體"/>
          <w:color w:val="000000"/>
          <w:sz w:val="26"/>
          <w:szCs w:val="26"/>
        </w:rPr>
      </w:pPr>
      <w:r>
        <w:rPr>
          <w:rFonts w:ascii="標楷體" w:hAnsi="標楷體" w:eastAsia="標楷體"/>
          <w:color w:val="000000"/>
          <w:sz w:val="26"/>
          <w:szCs w:val="26"/>
        </w:rPr>
        <w:t>摘要：</w:t>
      </w:r>
    </w:p>
    <w:p>
      <w:pPr>
        <w:pStyle w:val="Style21"/>
        <w:spacing w:lineRule="exact" w:line="500"/>
        <w:rPr>
          <w:rFonts w:ascii="標楷體" w:hAnsi="標楷體" w:eastAsia="標楷體"/>
          <w:color w:val="000000"/>
          <w:sz w:val="26"/>
          <w:szCs w:val="26"/>
        </w:rPr>
      </w:pPr>
      <w:r>
        <w:rPr>
          <w:rFonts w:ascii="標楷體" w:hAnsi="標楷體" w:eastAsia="標楷體"/>
          <w:color w:val="000000"/>
          <w:sz w:val="26"/>
          <w:szCs w:val="26"/>
        </w:rPr>
        <w:t>在此工作坊中，我們將利用高中物理會提到的準確度與精密度的概念去驗證使用中的額溫槍是否準確以及如何自我修正；</w:t>
      </w:r>
    </w:p>
    <w:p>
      <w:pPr>
        <w:pStyle w:val="Style21"/>
        <w:spacing w:lineRule="exact" w:line="500"/>
        <w:rPr>
          <w:rFonts w:ascii="標楷體" w:hAnsi="標楷體" w:eastAsia="標楷體"/>
          <w:color w:val="000000"/>
          <w:sz w:val="26"/>
          <w:szCs w:val="26"/>
        </w:rPr>
      </w:pPr>
      <w:r>
        <w:rPr>
          <w:rFonts w:ascii="標楷體" w:hAnsi="標楷體" w:eastAsia="標楷體"/>
          <w:color w:val="000000"/>
          <w:sz w:val="26"/>
          <w:szCs w:val="26"/>
        </w:rPr>
        <w:t>另外我們也將對相同溫度但不同顏色的表面用額溫槍進行量測，以確定額溫槍是否因工作原理而造成在測量不同顏色表面時存在儀器誤差。</w:t>
      </w:r>
    </w:p>
    <w:p>
      <w:pPr>
        <w:pStyle w:val="Style21"/>
        <w:spacing w:lineRule="exact" w:line="500"/>
        <w:rPr/>
      </w:pPr>
      <w:r>
        <w:rPr>
          <w:rStyle w:val="Style14"/>
          <w:rFonts w:ascii="標楷體" w:hAnsi="標楷體" w:eastAsia="標楷體"/>
          <w:color w:val="000000"/>
          <w:sz w:val="26"/>
          <w:szCs w:val="26"/>
        </w:rPr>
        <w:t>現場我們也會提供熱顯像儀進行類似實驗。（</w:t>
      </w:r>
      <w:r>
        <w:rPr>
          <w:rStyle w:val="Style14"/>
          <w:rFonts w:ascii="標楷體" w:hAnsi="標楷體" w:eastAsia="標楷體"/>
          <w:b/>
          <w:color w:val="FF0000"/>
          <w:sz w:val="26"/>
          <w:szCs w:val="26"/>
        </w:rPr>
        <w:t>建議參加的老師可以自行攜帶額溫槍</w:t>
      </w:r>
      <w:r>
        <w:rPr>
          <w:rStyle w:val="Style14"/>
          <w:rFonts w:ascii="標楷體" w:hAnsi="標楷體" w:eastAsia="標楷體"/>
          <w:color w:val="000000"/>
          <w:sz w:val="26"/>
          <w:szCs w:val="26"/>
        </w:rPr>
        <w:t>）</w:t>
      </w:r>
    </w:p>
    <w:p>
      <w:pPr>
        <w:pStyle w:val="Style21"/>
        <w:spacing w:lineRule="exact" w:line="500" w:before="360" w:after="0"/>
        <w:rPr>
          <w:rFonts w:ascii="標楷體" w:hAnsi="標楷體" w:eastAsia="標楷體"/>
          <w:b/>
          <w:b/>
          <w:color w:val="000000"/>
          <w:sz w:val="26"/>
          <w:szCs w:val="26"/>
        </w:rPr>
      </w:pPr>
      <w:r>
        <w:rPr>
          <w:rFonts w:ascii="標楷體" w:hAnsi="標楷體" w:eastAsia="標楷體"/>
          <w:b/>
          <w:color w:val="000000"/>
          <w:sz w:val="26"/>
          <w:szCs w:val="26"/>
        </w:rPr>
        <w:t>工作坊</w:t>
      </w:r>
      <w:r>
        <w:rPr>
          <w:rFonts w:eastAsia="標楷體" w:ascii="標楷體" w:hAnsi="標楷體"/>
          <w:b/>
          <w:color w:val="000000"/>
          <w:sz w:val="26"/>
          <w:szCs w:val="26"/>
        </w:rPr>
        <w:t>3</w:t>
      </w:r>
      <w:r>
        <w:rPr>
          <w:rFonts w:ascii="標楷體" w:hAnsi="標楷體" w:eastAsia="標楷體"/>
          <w:b/>
          <w:color w:val="000000"/>
          <w:sz w:val="26"/>
          <w:szCs w:val="26"/>
        </w:rPr>
        <w:t xml:space="preserve">：由防疫酒精談濃度與表面張力的物理 </w:t>
      </w:r>
    </w:p>
    <w:p>
      <w:pPr>
        <w:pStyle w:val="Style21"/>
        <w:spacing w:lineRule="exact" w:line="500"/>
        <w:rPr>
          <w:rFonts w:ascii="標楷體" w:hAnsi="標楷體" w:eastAsia="標楷體"/>
          <w:color w:val="000000"/>
          <w:sz w:val="26"/>
          <w:szCs w:val="26"/>
        </w:rPr>
      </w:pPr>
      <w:r>
        <w:rPr>
          <w:rFonts w:ascii="標楷體" w:hAnsi="標楷體" w:eastAsia="標楷體"/>
          <w:color w:val="000000"/>
          <w:sz w:val="26"/>
          <w:szCs w:val="26"/>
        </w:rPr>
        <w:t>摘要：</w:t>
      </w:r>
    </w:p>
    <w:p>
      <w:pPr>
        <w:pStyle w:val="Style21"/>
        <w:spacing w:lineRule="exact" w:line="500"/>
        <w:rPr>
          <w:rFonts w:ascii="標楷體" w:hAnsi="標楷體" w:eastAsia="標楷體"/>
          <w:color w:val="000000"/>
          <w:sz w:val="26"/>
          <w:szCs w:val="26"/>
        </w:rPr>
      </w:pPr>
      <w:r>
        <w:rPr>
          <w:rFonts w:ascii="標楷體" w:hAnsi="標楷體" w:eastAsia="標楷體"/>
          <w:color w:val="000000"/>
          <w:sz w:val="26"/>
          <w:szCs w:val="26"/>
        </w:rPr>
        <w:t>在</w:t>
      </w:r>
      <w:r>
        <w:rPr>
          <w:rFonts w:eastAsia="標楷體" w:ascii="標楷體" w:hAnsi="標楷體"/>
          <w:color w:val="000000"/>
          <w:sz w:val="26"/>
          <w:szCs w:val="26"/>
        </w:rPr>
        <w:t>COVID-19</w:t>
      </w:r>
      <w:r>
        <w:rPr>
          <w:rFonts w:ascii="標楷體" w:hAnsi="標楷體" w:eastAsia="標楷體"/>
          <w:color w:val="000000"/>
          <w:sz w:val="26"/>
          <w:szCs w:val="26"/>
        </w:rPr>
        <w:t>（新型冠狀病毒肺炎）防疫期間，酒精扮演著防止病毒傳播的重要角色，酒精濃度更是能否有效破壞病毒結構的關鍵因素，因此，我們將從酒精的分子結構出發，討論酒精的物理特性，利用物理原理，</w:t>
      </w:r>
      <w:r>
        <w:rPr>
          <w:rFonts w:eastAsia="標楷體" w:ascii="標楷體" w:hAnsi="標楷體"/>
          <w:color w:val="000000"/>
          <w:sz w:val="26"/>
          <w:szCs w:val="26"/>
        </w:rPr>
        <w:t>DIY</w:t>
      </w:r>
      <w:r>
        <w:rPr>
          <w:rFonts w:ascii="標楷體" w:hAnsi="標楷體" w:eastAsia="標楷體"/>
          <w:color w:val="000000"/>
          <w:sz w:val="26"/>
          <w:szCs w:val="26"/>
        </w:rPr>
        <w:t>簡易比重計，測量不同濃度的酒精，並以光學量測方式進行校正比對，最後透過觀察實驗現象中的</w:t>
      </w:r>
      <w:r>
        <w:rPr>
          <w:rFonts w:eastAsia="標楷體" w:ascii="標楷體" w:hAnsi="標楷體"/>
          <w:color w:val="000000"/>
          <w:sz w:val="26"/>
          <w:szCs w:val="26"/>
        </w:rPr>
        <w:t>Marangoni Effect</w:t>
      </w:r>
      <w:r>
        <w:rPr>
          <w:rFonts w:ascii="標楷體" w:hAnsi="標楷體" w:eastAsia="標楷體"/>
          <w:color w:val="000000"/>
          <w:sz w:val="26"/>
          <w:szCs w:val="26"/>
        </w:rPr>
        <w:t xml:space="preserve">，探究不同濃度的酒精對表面張力的影響。  </w:t>
      </w:r>
      <w:r>
        <w:br w:type="page"/>
      </w:r>
    </w:p>
    <w:p>
      <w:pPr>
        <w:pStyle w:val="Style21"/>
        <w:spacing w:lineRule="exact" w:line="500"/>
        <w:rPr/>
      </w:pPr>
      <w:r>
        <w:rPr>
          <w:rStyle w:val="Style14"/>
          <w:rFonts w:ascii="標楷體" w:hAnsi="標楷體" w:eastAsia="標楷體"/>
          <w:b/>
          <w:color w:val="000000"/>
          <w:sz w:val="26"/>
          <w:szCs w:val="26"/>
        </w:rPr>
        <w:t>補充說明：</w:t>
      </w:r>
    </w:p>
    <w:p>
      <w:pPr>
        <w:pStyle w:val="Style21"/>
        <w:numPr>
          <w:ilvl w:val="3"/>
          <w:numId w:val="4"/>
        </w:numPr>
        <w:tabs>
          <w:tab w:val="left" w:pos="0" w:leader="none"/>
        </w:tabs>
        <w:spacing w:lineRule="exact" w:line="460"/>
        <w:ind w:left="2418" w:hanging="480"/>
        <w:jc w:val="distribute"/>
        <w:rPr/>
      </w:pPr>
      <w:r>
        <w:rPr>
          <w:rStyle w:val="Style14"/>
          <w:rFonts w:ascii="標楷體" w:hAnsi="標楷體" w:cs="新細明體" w:eastAsia="標楷體"/>
        </w:rPr>
        <w:t>研習活動之課程教材、膳食經費，由主辦單位依教育部相關規定編列支應，請各校惠予參加研習人員公(差)假登記，交通差旅費由原服務單位依相關規定支應</w:t>
      </w:r>
      <w:r>
        <w:rPr>
          <w:rStyle w:val="Style14"/>
          <w:rFonts w:eastAsia="標楷體"/>
          <w:bCs/>
          <w:sz w:val="26"/>
          <w:szCs w:val="26"/>
        </w:rPr>
        <w:t>。</w:t>
      </w:r>
    </w:p>
    <w:p>
      <w:pPr>
        <w:pStyle w:val="Style21"/>
        <w:numPr>
          <w:ilvl w:val="3"/>
          <w:numId w:val="4"/>
        </w:numPr>
        <w:tabs>
          <w:tab w:val="left" w:pos="0" w:leader="none"/>
        </w:tabs>
        <w:spacing w:lineRule="exact" w:line="460"/>
        <w:ind w:left="2418" w:hanging="480"/>
        <w:jc w:val="distribute"/>
        <w:rPr>
          <w:rFonts w:eastAsia="標楷體"/>
          <w:bCs/>
          <w:sz w:val="26"/>
          <w:szCs w:val="26"/>
        </w:rPr>
      </w:pPr>
      <w:r>
        <w:rPr>
          <w:rFonts w:eastAsia="標楷體"/>
          <w:bCs/>
          <w:sz w:val="26"/>
          <w:szCs w:val="26"/>
        </w:rPr>
        <w:t>研習備有茶水供應，為響應環保運動，請參加教師自行攜帶環保杯或茶杯。</w:t>
      </w:r>
    </w:p>
    <w:p>
      <w:pPr>
        <w:pStyle w:val="Style21"/>
        <w:numPr>
          <w:ilvl w:val="3"/>
          <w:numId w:val="4"/>
        </w:numPr>
        <w:tabs>
          <w:tab w:val="left" w:pos="0" w:leader="none"/>
        </w:tabs>
        <w:spacing w:lineRule="exact" w:line="460"/>
        <w:ind w:left="2418" w:hanging="480"/>
        <w:jc w:val="distribute"/>
        <w:rPr>
          <w:rFonts w:eastAsia="標楷體"/>
          <w:bCs/>
          <w:sz w:val="26"/>
          <w:szCs w:val="26"/>
        </w:rPr>
      </w:pPr>
      <w:r>
        <w:rPr>
          <w:rFonts w:eastAsia="標楷體"/>
          <w:bCs/>
          <w:sz w:val="26"/>
          <w:szCs w:val="26"/>
        </w:rPr>
        <w:t>研習場地學校停車位有限，請儘量共乘或利用大眾運輸工具前往，東吳大學外雙溪校區校內備有停車場，停車規定與收費標準，依照東吳大學</w:t>
      </w:r>
      <w:bookmarkStart w:id="0" w:name="_Toc363281678"/>
      <w:r>
        <w:rPr>
          <w:rFonts w:eastAsia="標楷體"/>
          <w:bCs/>
          <w:sz w:val="26"/>
          <w:szCs w:val="26"/>
        </w:rPr>
        <w:t>各種車輛停放及管理辦法</w:t>
      </w:r>
      <w:bookmarkEnd w:id="0"/>
      <w:r>
        <w:rPr>
          <w:rFonts w:eastAsia="標楷體"/>
          <w:bCs/>
          <w:sz w:val="26"/>
          <w:szCs w:val="26"/>
        </w:rPr>
        <w:t>處理。</w:t>
      </w:r>
    </w:p>
    <w:p>
      <w:pPr>
        <w:pStyle w:val="Style21"/>
        <w:numPr>
          <w:ilvl w:val="3"/>
          <w:numId w:val="4"/>
        </w:numPr>
        <w:tabs>
          <w:tab w:val="left" w:pos="0" w:leader="none"/>
        </w:tabs>
        <w:spacing w:lineRule="exact" w:line="460"/>
        <w:ind w:left="2420" w:hanging="480"/>
        <w:jc w:val="distribute"/>
        <w:rPr/>
      </w:pPr>
      <w:r>
        <w:rPr>
          <w:rStyle w:val="Style14"/>
          <w:rFonts w:eastAsia="標楷體"/>
          <w:b/>
          <w:sz w:val="26"/>
          <w:szCs w:val="26"/>
        </w:rPr>
        <w:t>本場次研習備有接駁車，</w:t>
      </w:r>
      <w:r>
        <w:rPr>
          <w:rStyle w:val="Style14"/>
          <w:rFonts w:eastAsia="標楷體"/>
          <w:b/>
          <w:sz w:val="26"/>
          <w:szCs w:val="26"/>
        </w:rPr>
        <w:t>12</w:t>
      </w:r>
      <w:r>
        <w:rPr>
          <w:rStyle w:val="Style14"/>
          <w:rFonts w:eastAsia="標楷體"/>
          <w:b/>
          <w:sz w:val="26"/>
          <w:szCs w:val="26"/>
        </w:rPr>
        <w:t>月</w:t>
      </w:r>
      <w:r>
        <w:rPr>
          <w:rStyle w:val="Style14"/>
          <w:rFonts w:eastAsia="標楷體"/>
          <w:b/>
          <w:sz w:val="26"/>
          <w:szCs w:val="26"/>
        </w:rPr>
        <w:t>05</w:t>
      </w:r>
      <w:r>
        <w:rPr>
          <w:rStyle w:val="Style14"/>
          <w:rFonts w:eastAsia="標楷體"/>
          <w:b/>
          <w:sz w:val="26"/>
          <w:szCs w:val="26"/>
        </w:rPr>
        <w:t>日（六）上午</w:t>
      </w:r>
      <w:r>
        <w:rPr>
          <w:rStyle w:val="Style14"/>
          <w:rFonts w:eastAsia="標楷體"/>
          <w:b/>
          <w:sz w:val="26"/>
          <w:szCs w:val="26"/>
        </w:rPr>
        <w:t>09</w:t>
      </w:r>
      <w:r>
        <w:rPr>
          <w:rStyle w:val="Style14"/>
          <w:rFonts w:eastAsia="標楷體"/>
          <w:b/>
          <w:sz w:val="26"/>
          <w:szCs w:val="26"/>
        </w:rPr>
        <w:t>：</w:t>
      </w:r>
      <w:r>
        <w:rPr>
          <w:rStyle w:val="Style14"/>
          <w:rFonts w:eastAsia="標楷體"/>
          <w:b/>
          <w:sz w:val="26"/>
          <w:szCs w:val="26"/>
        </w:rPr>
        <w:t>00</w:t>
      </w:r>
      <w:r>
        <w:rPr>
          <w:rStyle w:val="Style14"/>
          <w:rFonts w:eastAsia="標楷體"/>
          <w:b/>
          <w:sz w:val="26"/>
          <w:szCs w:val="26"/>
        </w:rPr>
        <w:t>士林捷運站</w:t>
      </w:r>
      <w:r>
        <w:rPr>
          <w:rStyle w:val="Style14"/>
          <w:rFonts w:eastAsia="標楷體"/>
          <w:b/>
          <w:sz w:val="26"/>
          <w:szCs w:val="26"/>
        </w:rPr>
        <w:t>1</w:t>
      </w:r>
      <w:r>
        <w:rPr>
          <w:rStyle w:val="Style14"/>
          <w:rFonts w:eastAsia="標楷體"/>
          <w:b/>
          <w:sz w:val="26"/>
          <w:szCs w:val="26"/>
        </w:rPr>
        <w:t>號出口發車（</w:t>
      </w:r>
      <w:r>
        <w:rPr>
          <w:rStyle w:val="Style14"/>
          <w:rFonts w:eastAsia="標楷體"/>
          <w:bCs/>
          <w:sz w:val="26"/>
          <w:szCs w:val="26"/>
        </w:rPr>
        <w:t>屈臣氏士林店旁廣場候車</w:t>
      </w:r>
      <w:r>
        <w:rPr>
          <w:rStyle w:val="Style14"/>
          <w:rFonts w:eastAsia="標楷體"/>
          <w:b/>
          <w:sz w:val="26"/>
          <w:szCs w:val="26"/>
        </w:rPr>
        <w:t>）。</w:t>
      </w:r>
    </w:p>
    <w:p>
      <w:pPr>
        <w:pStyle w:val="Style21"/>
        <w:widowControl/>
        <w:rPr>
          <w:rFonts w:ascii="標楷體" w:hAnsi="標楷體" w:eastAsia="標楷體" w:cs="新細明體"/>
          <w:b/>
          <w:b/>
          <w:bCs/>
          <w:color w:val="5F5F5F"/>
          <w:sz w:val="27"/>
          <w:szCs w:val="27"/>
          <w:lang w:bidi="hi-IN"/>
        </w:rPr>
      </w:pPr>
      <w:r>
        <w:rPr>
          <w:rFonts w:ascii="標楷體" w:hAnsi="標楷體" w:cs="新細明體" w:eastAsia="標楷體"/>
          <w:b/>
          <w:bCs/>
          <w:color w:val="5F5F5F"/>
          <w:sz w:val="27"/>
          <w:szCs w:val="27"/>
          <w:lang w:bidi="hi-IN"/>
        </w:rPr>
        <w:t>如何前往東吳大學：</w:t>
      </w:r>
    </w:p>
    <w:p>
      <w:pPr>
        <w:pStyle w:val="Style21"/>
        <w:widowControl/>
        <w:rPr/>
      </w:pPr>
      <w:r>
        <w:rPr>
          <w:rStyle w:val="Style14"/>
          <w:rFonts w:ascii="標楷體" w:hAnsi="標楷體" w:cs="新細明體" w:eastAsia="標楷體"/>
          <w:b/>
          <w:bCs/>
          <w:color w:val="5F5F5F"/>
          <w:sz w:val="27"/>
          <w:szCs w:val="27"/>
          <w:lang w:bidi="hi-IN"/>
        </w:rPr>
        <w:t>（本場次研習備有接駁車，上午</w:t>
      </w:r>
      <w:r>
        <w:rPr>
          <w:rStyle w:val="Style14"/>
          <w:rFonts w:eastAsia="標楷體" w:cs="新細明體" w:ascii="標楷體" w:hAnsi="標楷體"/>
          <w:b/>
          <w:bCs/>
          <w:color w:val="5F5F5F"/>
          <w:sz w:val="27"/>
          <w:szCs w:val="27"/>
          <w:lang w:bidi="hi-IN"/>
        </w:rPr>
        <w:t>09</w:t>
      </w:r>
      <w:r>
        <w:rPr>
          <w:rStyle w:val="Style14"/>
          <w:rFonts w:ascii="標楷體" w:hAnsi="標楷體" w:cs="新細明體" w:eastAsia="標楷體"/>
          <w:b/>
          <w:bCs/>
          <w:color w:val="5F5F5F"/>
          <w:sz w:val="27"/>
          <w:szCs w:val="27"/>
          <w:lang w:bidi="hi-IN"/>
        </w:rPr>
        <w:t>：</w:t>
      </w:r>
      <w:r>
        <w:rPr>
          <w:rStyle w:val="Style14"/>
          <w:rFonts w:eastAsia="標楷體" w:cs="新細明體" w:ascii="標楷體" w:hAnsi="標楷體"/>
          <w:b/>
          <w:bCs/>
          <w:color w:val="5F5F5F"/>
          <w:sz w:val="27"/>
          <w:szCs w:val="27"/>
          <w:lang w:bidi="hi-IN"/>
        </w:rPr>
        <w:t>00</w:t>
      </w:r>
      <w:r>
        <w:rPr>
          <w:rStyle w:val="Style14"/>
          <w:rFonts w:ascii="標楷體" w:hAnsi="標楷體" w:cs="新細明體" w:eastAsia="標楷體"/>
          <w:b/>
          <w:bCs/>
          <w:color w:val="5F5F5F"/>
          <w:sz w:val="27"/>
          <w:szCs w:val="27"/>
          <w:lang w:bidi="hi-IN"/>
        </w:rPr>
        <w:t>士林捷運站</w:t>
      </w:r>
      <w:r>
        <w:rPr>
          <w:rStyle w:val="Style14"/>
          <w:rFonts w:eastAsia="標楷體" w:cs="新細明體" w:ascii="標楷體" w:hAnsi="標楷體"/>
          <w:b/>
          <w:bCs/>
          <w:color w:val="5F5F5F"/>
          <w:sz w:val="27"/>
          <w:szCs w:val="27"/>
          <w:lang w:bidi="hi-IN"/>
        </w:rPr>
        <w:t>1</w:t>
      </w:r>
      <w:r>
        <w:rPr>
          <w:rStyle w:val="Style14"/>
          <w:rFonts w:ascii="標楷體" w:hAnsi="標楷體" w:cs="新細明體" w:eastAsia="標楷體"/>
          <w:b/>
          <w:bCs/>
          <w:color w:val="5F5F5F"/>
          <w:sz w:val="27"/>
          <w:szCs w:val="27"/>
          <w:lang w:bidi="hi-IN"/>
        </w:rPr>
        <w:t>號出口發車）</w:t>
      </w:r>
    </w:p>
    <w:p>
      <w:pPr>
        <w:pStyle w:val="Style21"/>
        <w:rPr>
          <w:rFonts w:eastAsia="標楷體"/>
          <w:b/>
          <w:b/>
          <w:color w:val="000000"/>
          <w:sz w:val="26"/>
          <w:szCs w:val="26"/>
        </w:rPr>
      </w:pPr>
      <w:r>
        <w:rPr>
          <w:rFonts w:eastAsia="標楷體"/>
          <w:b/>
          <w:color w:val="000000"/>
          <w:sz w:val="26"/>
          <w:szCs w:val="26"/>
        </w:rPr>
      </w:r>
    </w:p>
    <w:tbl>
      <w:tblPr>
        <w:tblW w:w="9698" w:type="dxa"/>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25" w:type="dxa"/>
          <w:bottom w:w="30" w:type="dxa"/>
          <w:right w:w="30" w:type="dxa"/>
        </w:tblCellMar>
      </w:tblPr>
      <w:tblGrid>
        <w:gridCol w:w="9698"/>
      </w:tblGrid>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25" w:type="dxa"/>
            </w:tcMar>
            <w:vAlign w:val="center"/>
          </w:tcPr>
          <w:p>
            <w:pPr>
              <w:pStyle w:val="Style21"/>
              <w:widowControl/>
              <w:rPr>
                <w:rFonts w:eastAsia="標楷體"/>
                <w:bCs/>
                <w:sz w:val="26"/>
                <w:szCs w:val="26"/>
              </w:rPr>
            </w:pPr>
            <w:r>
              <w:rPr>
                <w:rFonts w:eastAsia="標楷體"/>
                <w:bCs/>
                <w:sz w:val="26"/>
                <w:szCs w:val="26"/>
              </w:rPr>
              <w:t>公車</w:t>
            </w:r>
          </w:p>
        </w:tc>
      </w:tr>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5" w:type="dxa"/>
            </w:tcMar>
            <w:vAlign w:val="center"/>
          </w:tcPr>
          <w:p>
            <w:pPr>
              <w:pStyle w:val="Style21"/>
              <w:widowControl/>
              <w:rPr>
                <w:rFonts w:eastAsia="標楷體"/>
                <w:bCs/>
                <w:sz w:val="26"/>
                <w:szCs w:val="26"/>
              </w:rPr>
            </w:pPr>
            <w:r>
              <w:rPr>
                <w:rFonts w:eastAsia="標楷體"/>
                <w:bCs/>
                <w:sz w:val="26"/>
                <w:szCs w:val="26"/>
              </w:rPr>
              <w:t>255</w:t>
            </w:r>
            <w:r>
              <w:rPr>
                <w:rFonts w:eastAsia="標楷體"/>
                <w:bCs/>
                <w:sz w:val="26"/>
                <w:szCs w:val="26"/>
              </w:rPr>
              <w:t>、</w:t>
            </w:r>
            <w:r>
              <w:rPr>
                <w:rFonts w:eastAsia="標楷體"/>
                <w:bCs/>
                <w:sz w:val="26"/>
                <w:szCs w:val="26"/>
              </w:rPr>
              <w:t>267</w:t>
            </w:r>
            <w:r>
              <w:rPr>
                <w:rFonts w:eastAsia="標楷體"/>
                <w:bCs/>
                <w:sz w:val="26"/>
                <w:szCs w:val="26"/>
              </w:rPr>
              <w:t>、</w:t>
            </w:r>
            <w:r>
              <w:rPr>
                <w:rFonts w:eastAsia="標楷體"/>
                <w:bCs/>
                <w:sz w:val="26"/>
                <w:szCs w:val="26"/>
              </w:rPr>
              <w:t>304</w:t>
            </w:r>
            <w:r>
              <w:rPr>
                <w:rFonts w:eastAsia="標楷體"/>
                <w:bCs/>
                <w:sz w:val="26"/>
                <w:szCs w:val="26"/>
              </w:rPr>
              <w:t>、</w:t>
            </w:r>
            <w:r>
              <w:rPr>
                <w:rFonts w:eastAsia="標楷體"/>
                <w:bCs/>
                <w:sz w:val="26"/>
                <w:szCs w:val="26"/>
              </w:rPr>
              <w:t>620</w:t>
            </w:r>
            <w:r>
              <w:rPr>
                <w:rFonts w:eastAsia="標楷體"/>
                <w:bCs/>
                <w:sz w:val="26"/>
                <w:szCs w:val="26"/>
              </w:rPr>
              <w:t>、</w:t>
            </w:r>
            <w:r>
              <w:rPr>
                <w:rFonts w:eastAsia="標楷體"/>
                <w:bCs/>
                <w:sz w:val="26"/>
                <w:szCs w:val="26"/>
              </w:rPr>
              <w:t>645</w:t>
            </w:r>
            <w:r>
              <w:rPr>
                <w:rFonts w:eastAsia="標楷體"/>
                <w:bCs/>
                <w:sz w:val="26"/>
                <w:szCs w:val="26"/>
              </w:rPr>
              <w:t>、小</w:t>
            </w:r>
            <w:r>
              <w:rPr>
                <w:rFonts w:eastAsia="標楷體"/>
                <w:bCs/>
                <w:sz w:val="26"/>
                <w:szCs w:val="26"/>
              </w:rPr>
              <w:t>18</w:t>
            </w:r>
            <w:r>
              <w:rPr>
                <w:rFonts w:eastAsia="標楷體"/>
                <w:bCs/>
                <w:sz w:val="26"/>
                <w:szCs w:val="26"/>
              </w:rPr>
              <w:t>、小</w:t>
            </w:r>
            <w:r>
              <w:rPr>
                <w:rFonts w:eastAsia="標楷體"/>
                <w:bCs/>
                <w:sz w:val="26"/>
                <w:szCs w:val="26"/>
              </w:rPr>
              <w:t>19</w:t>
            </w:r>
            <w:r>
              <w:rPr>
                <w:rFonts w:eastAsia="標楷體"/>
                <w:bCs/>
                <w:sz w:val="26"/>
                <w:szCs w:val="26"/>
              </w:rPr>
              <w:t>（東吳大學站）</w:t>
            </w:r>
          </w:p>
        </w:tc>
      </w:tr>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5" w:type="dxa"/>
            </w:tcMar>
            <w:vAlign w:val="center"/>
          </w:tcPr>
          <w:p>
            <w:pPr>
              <w:pStyle w:val="Style21"/>
              <w:widowControl/>
              <w:rPr>
                <w:rFonts w:eastAsia="標楷體"/>
                <w:bCs/>
                <w:sz w:val="26"/>
                <w:szCs w:val="26"/>
              </w:rPr>
            </w:pPr>
            <w:r>
              <w:rPr>
                <w:rFonts w:eastAsia="標楷體"/>
                <w:bCs/>
                <w:sz w:val="26"/>
                <w:szCs w:val="26"/>
              </w:rPr>
              <w:t>213</w:t>
            </w:r>
            <w:r>
              <w:rPr>
                <w:rFonts w:eastAsia="標楷體"/>
                <w:bCs/>
                <w:sz w:val="26"/>
                <w:szCs w:val="26"/>
              </w:rPr>
              <w:t>（外雙溪站）</w:t>
            </w:r>
          </w:p>
        </w:tc>
      </w:tr>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25" w:type="dxa"/>
            </w:tcMar>
            <w:vAlign w:val="center"/>
          </w:tcPr>
          <w:p>
            <w:pPr>
              <w:pStyle w:val="Style21"/>
              <w:widowControl/>
              <w:rPr>
                <w:rFonts w:eastAsia="標楷體"/>
                <w:bCs/>
                <w:sz w:val="26"/>
                <w:szCs w:val="26"/>
              </w:rPr>
            </w:pPr>
            <w:r>
              <w:rPr>
                <w:rFonts w:eastAsia="標楷體"/>
                <w:bCs/>
                <w:sz w:val="26"/>
                <w:szCs w:val="26"/>
              </w:rPr>
              <w:t>捷運</w:t>
            </w:r>
          </w:p>
        </w:tc>
      </w:tr>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5" w:type="dxa"/>
            </w:tcMar>
            <w:vAlign w:val="center"/>
          </w:tcPr>
          <w:p>
            <w:pPr>
              <w:pStyle w:val="Style21"/>
              <w:widowControl/>
              <w:rPr>
                <w:rFonts w:eastAsia="標楷體"/>
                <w:bCs/>
                <w:sz w:val="26"/>
                <w:szCs w:val="26"/>
              </w:rPr>
            </w:pPr>
            <w:r>
              <w:rPr>
                <w:rFonts w:eastAsia="標楷體"/>
                <w:bCs/>
                <w:sz w:val="26"/>
                <w:szCs w:val="26"/>
              </w:rPr>
              <w:t>捷運淡水線至士林站，往中正路出口，再轉搭公車</w:t>
            </w:r>
            <w:r>
              <w:rPr>
                <w:rFonts w:eastAsia="標楷體"/>
                <w:bCs/>
                <w:sz w:val="26"/>
                <w:szCs w:val="26"/>
              </w:rPr>
              <w:t>255</w:t>
            </w:r>
            <w:r>
              <w:rPr>
                <w:rFonts w:eastAsia="標楷體"/>
                <w:bCs/>
                <w:sz w:val="26"/>
                <w:szCs w:val="26"/>
              </w:rPr>
              <w:t>、</w:t>
            </w:r>
            <w:r>
              <w:rPr>
                <w:rFonts w:eastAsia="標楷體"/>
                <w:bCs/>
                <w:sz w:val="26"/>
                <w:szCs w:val="26"/>
              </w:rPr>
              <w:t>304</w:t>
            </w:r>
            <w:r>
              <w:rPr>
                <w:rFonts w:eastAsia="標楷體"/>
                <w:bCs/>
                <w:sz w:val="26"/>
                <w:szCs w:val="26"/>
              </w:rPr>
              <w:t>、</w:t>
            </w:r>
            <w:r>
              <w:rPr>
                <w:rFonts w:eastAsia="標楷體"/>
                <w:bCs/>
                <w:sz w:val="26"/>
                <w:szCs w:val="26"/>
              </w:rPr>
              <w:t>620</w:t>
            </w:r>
            <w:r>
              <w:rPr>
                <w:rFonts w:eastAsia="標楷體"/>
                <w:bCs/>
                <w:sz w:val="26"/>
                <w:szCs w:val="26"/>
              </w:rPr>
              <w:t>、小</w:t>
            </w:r>
            <w:r>
              <w:rPr>
                <w:rFonts w:eastAsia="標楷體"/>
                <w:bCs/>
                <w:sz w:val="26"/>
                <w:szCs w:val="26"/>
              </w:rPr>
              <w:t>18</w:t>
            </w:r>
            <w:r>
              <w:rPr>
                <w:rFonts w:eastAsia="標楷體"/>
                <w:bCs/>
                <w:sz w:val="26"/>
                <w:szCs w:val="26"/>
              </w:rPr>
              <w:t>、小</w:t>
            </w:r>
            <w:r>
              <w:rPr>
                <w:rFonts w:eastAsia="標楷體"/>
                <w:bCs/>
                <w:sz w:val="26"/>
                <w:szCs w:val="26"/>
              </w:rPr>
              <w:t>19</w:t>
            </w:r>
            <w:r>
              <w:rPr>
                <w:rFonts w:eastAsia="標楷體"/>
                <w:bCs/>
                <w:sz w:val="26"/>
                <w:szCs w:val="26"/>
              </w:rPr>
              <w:t>至東吳大學站下車</w:t>
            </w:r>
          </w:p>
        </w:tc>
      </w:tr>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25" w:type="dxa"/>
            </w:tcMar>
            <w:vAlign w:val="center"/>
          </w:tcPr>
          <w:p>
            <w:pPr>
              <w:pStyle w:val="Style21"/>
              <w:widowControl/>
              <w:rPr>
                <w:rFonts w:eastAsia="標楷體"/>
                <w:bCs/>
                <w:sz w:val="26"/>
                <w:szCs w:val="26"/>
              </w:rPr>
            </w:pPr>
            <w:r>
              <w:rPr>
                <w:rFonts w:eastAsia="標楷體"/>
                <w:bCs/>
                <w:sz w:val="26"/>
                <w:szCs w:val="26"/>
              </w:rPr>
              <w:t>鐵路</w:t>
            </w:r>
          </w:p>
        </w:tc>
      </w:tr>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5" w:type="dxa"/>
            </w:tcMar>
            <w:vAlign w:val="center"/>
          </w:tcPr>
          <w:p>
            <w:pPr>
              <w:pStyle w:val="Style21"/>
              <w:widowControl/>
              <w:rPr>
                <w:rFonts w:eastAsia="標楷體"/>
                <w:bCs/>
                <w:sz w:val="26"/>
                <w:szCs w:val="26"/>
              </w:rPr>
            </w:pPr>
            <w:r>
              <w:rPr>
                <w:rFonts w:eastAsia="標楷體"/>
                <w:bCs/>
                <w:sz w:val="26"/>
                <w:szCs w:val="26"/>
              </w:rPr>
              <w:t>至台北車站下車，轉乘捷運至士林站，往中正路出口，再轉搭公車</w:t>
            </w:r>
            <w:r>
              <w:rPr>
                <w:rFonts w:eastAsia="標楷體"/>
                <w:bCs/>
                <w:sz w:val="26"/>
                <w:szCs w:val="26"/>
              </w:rPr>
              <w:t>255</w:t>
            </w:r>
            <w:r>
              <w:rPr>
                <w:rFonts w:eastAsia="標楷體"/>
                <w:bCs/>
                <w:sz w:val="26"/>
                <w:szCs w:val="26"/>
              </w:rPr>
              <w:t>、</w:t>
            </w:r>
            <w:r>
              <w:rPr>
                <w:rFonts w:eastAsia="標楷體"/>
                <w:bCs/>
                <w:sz w:val="26"/>
                <w:szCs w:val="26"/>
              </w:rPr>
              <w:t>304</w:t>
            </w:r>
            <w:r>
              <w:rPr>
                <w:rFonts w:eastAsia="標楷體"/>
                <w:bCs/>
                <w:sz w:val="26"/>
                <w:szCs w:val="26"/>
              </w:rPr>
              <w:t>、</w:t>
            </w:r>
            <w:r>
              <w:rPr>
                <w:rFonts w:eastAsia="標楷體"/>
                <w:bCs/>
                <w:sz w:val="26"/>
                <w:szCs w:val="26"/>
              </w:rPr>
              <w:t>620</w:t>
            </w:r>
            <w:r>
              <w:rPr>
                <w:rFonts w:eastAsia="標楷體"/>
                <w:bCs/>
                <w:sz w:val="26"/>
                <w:szCs w:val="26"/>
              </w:rPr>
              <w:t>、小</w:t>
            </w:r>
            <w:r>
              <w:rPr>
                <w:rFonts w:eastAsia="標楷體"/>
                <w:bCs/>
                <w:sz w:val="26"/>
                <w:szCs w:val="26"/>
              </w:rPr>
              <w:t>18</w:t>
            </w:r>
            <w:r>
              <w:rPr>
                <w:rFonts w:eastAsia="標楷體"/>
                <w:bCs/>
                <w:sz w:val="26"/>
                <w:szCs w:val="26"/>
              </w:rPr>
              <w:t>、小</w:t>
            </w:r>
            <w:r>
              <w:rPr>
                <w:rFonts w:eastAsia="標楷體"/>
                <w:bCs/>
                <w:sz w:val="26"/>
                <w:szCs w:val="26"/>
              </w:rPr>
              <w:t>19</w:t>
            </w:r>
            <w:r>
              <w:rPr>
                <w:rFonts w:eastAsia="標楷體"/>
                <w:bCs/>
                <w:sz w:val="26"/>
                <w:szCs w:val="26"/>
              </w:rPr>
              <w:t>至東吳大學站下車</w:t>
            </w:r>
          </w:p>
        </w:tc>
      </w:tr>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25" w:type="dxa"/>
            </w:tcMar>
            <w:vAlign w:val="center"/>
          </w:tcPr>
          <w:p>
            <w:pPr>
              <w:pStyle w:val="Style21"/>
              <w:widowControl/>
              <w:rPr>
                <w:rFonts w:eastAsia="標楷體"/>
                <w:bCs/>
                <w:sz w:val="26"/>
                <w:szCs w:val="26"/>
              </w:rPr>
            </w:pPr>
            <w:r>
              <w:rPr>
                <w:rFonts w:eastAsia="標楷體"/>
                <w:bCs/>
                <w:sz w:val="26"/>
                <w:szCs w:val="26"/>
              </w:rPr>
              <w:t>自行駕車</w:t>
            </w:r>
          </w:p>
        </w:tc>
      </w:tr>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5" w:type="dxa"/>
            </w:tcMar>
            <w:vAlign w:val="center"/>
          </w:tcPr>
          <w:p>
            <w:pPr>
              <w:pStyle w:val="Style21"/>
              <w:widowControl/>
              <w:rPr>
                <w:rFonts w:eastAsia="標楷體"/>
                <w:bCs/>
                <w:sz w:val="26"/>
                <w:szCs w:val="26"/>
              </w:rPr>
            </w:pPr>
            <w:r>
              <w:rPr>
                <w:rFonts w:eastAsia="標楷體"/>
                <w:bCs/>
                <w:sz w:val="26"/>
                <w:szCs w:val="26"/>
              </w:rPr>
              <w:t>中山高速公路--&gt;重慶北路交流道（往士林方向）</w:t>
              <w:br/>
              <w:t>--&gt;重慶北路四段--&gt;百齡橋--&gt;中正路--&gt;至善路--&gt;外雙溪校區</w:t>
            </w:r>
          </w:p>
        </w:tc>
      </w:tr>
      <w:tr>
        <w:trPr/>
        <w:tc>
          <w:tcPr>
            <w:tcW w:w="9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25" w:type="dxa"/>
            </w:tcMar>
            <w:vAlign w:val="center"/>
          </w:tcPr>
          <w:p>
            <w:pPr>
              <w:pStyle w:val="Style21"/>
              <w:widowControl/>
              <w:rPr>
                <w:rFonts w:eastAsia="標楷體"/>
                <w:bCs/>
                <w:sz w:val="26"/>
                <w:szCs w:val="26"/>
              </w:rPr>
            </w:pPr>
            <w:r>
              <w:rPr>
                <w:rFonts w:eastAsia="標楷體"/>
                <w:bCs/>
                <w:sz w:val="26"/>
                <w:szCs w:val="26"/>
              </w:rPr>
              <w:t>北二高--&gt;堤頂交流道--&gt;往左至內湖路（內湖大直方向）--&gt;自強隧道--&gt;至善路--&gt;外雙溪校區</w:t>
            </w:r>
          </w:p>
        </w:tc>
      </w:tr>
    </w:tbl>
    <w:p>
      <w:pPr>
        <w:pStyle w:val="Style21"/>
        <w:rPr>
          <w:rFonts w:ascii="標楷體" w:hAnsi="標楷體" w:eastAsia="標楷體"/>
          <w:sz w:val="28"/>
          <w:szCs w:val="28"/>
        </w:rPr>
      </w:pPr>
      <w:r>
        <w:rPr>
          <w:rFonts w:eastAsia="標楷體" w:ascii="標楷體" w:hAnsi="標楷體"/>
          <w:sz w:val="28"/>
          <w:szCs w:val="28"/>
        </w:rPr>
      </w:r>
    </w:p>
    <w:sectPr>
      <w:type w:val="nextPage"/>
      <w:pgSz w:w="11906" w:h="16838"/>
      <w:pgMar w:left="1134" w:right="1134" w:header="0" w:top="1134" w:footer="0" w:bottom="1134" w:gutter="0"/>
      <w:pgNumType w:fmt="decimal"/>
      <w:formProt w:val="false"/>
      <w:textDirection w:val="lrTb"/>
      <w:docGrid w:type="snapToChar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Wingdings">
    <w:charset w:val="02"/>
    <w:family w:val="auto"/>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0"/>
      </w:pPr>
    </w:lvl>
  </w:abstractNum>
  <w:abstractNum w:abstractNumId="2">
    <w:lvl w:ilvl="0">
      <w:start w:val="1"/>
      <w:numFmt w:val="decimal"/>
      <w:lvlText w:val="%1、"/>
      <w:lvlJc w:val="left"/>
      <w:pPr>
        <w:tabs>
          <w:tab w:val="num" w:pos="1433"/>
        </w:tabs>
        <w:ind w:left="1433" w:hanging="480"/>
      </w:pPr>
    </w:lvl>
    <w:lvl w:ilvl="1">
      <w:start w:val="1"/>
      <w:numFmt w:val="ideographTraditional"/>
      <w:lvlText w:val="%2、"/>
      <w:lvlJc w:val="left"/>
      <w:pPr>
        <w:tabs>
          <w:tab w:val="num" w:pos="1433"/>
        </w:tabs>
        <w:ind w:left="1433" w:hanging="480"/>
      </w:pPr>
    </w:lvl>
    <w:lvl w:ilvl="2">
      <w:start w:val="1"/>
      <w:numFmt w:val="lowerRoman"/>
      <w:lvlText w:val="%3."/>
      <w:lvlJc w:val="right"/>
      <w:pPr>
        <w:tabs>
          <w:tab w:val="num" w:pos="1913"/>
        </w:tabs>
        <w:ind w:left="1913" w:hanging="0"/>
      </w:pPr>
    </w:lvl>
    <w:lvl w:ilvl="3">
      <w:start w:val="1"/>
      <w:numFmt w:val="decimal"/>
      <w:lvlText w:val="%4."/>
      <w:lvlJc w:val="left"/>
      <w:pPr>
        <w:tabs>
          <w:tab w:val="num" w:pos="2393"/>
        </w:tabs>
        <w:ind w:left="2393" w:hanging="480"/>
      </w:pPr>
    </w:lvl>
    <w:lvl w:ilvl="4">
      <w:start w:val="1"/>
      <w:numFmt w:val="ideographTraditional"/>
      <w:lvlText w:val="%5、"/>
      <w:lvlJc w:val="left"/>
      <w:pPr>
        <w:tabs>
          <w:tab w:val="num" w:pos="2873"/>
        </w:tabs>
        <w:ind w:left="2873" w:hanging="480"/>
      </w:pPr>
    </w:lvl>
    <w:lvl w:ilvl="5">
      <w:start w:val="1"/>
      <w:numFmt w:val="lowerRoman"/>
      <w:lvlText w:val="%6."/>
      <w:lvlJc w:val="right"/>
      <w:pPr>
        <w:tabs>
          <w:tab w:val="num" w:pos="3353"/>
        </w:tabs>
        <w:ind w:left="3353" w:hanging="0"/>
      </w:pPr>
    </w:lvl>
    <w:lvl w:ilvl="6">
      <w:start w:val="1"/>
      <w:numFmt w:val="decimal"/>
      <w:lvlText w:val="%7."/>
      <w:lvlJc w:val="left"/>
      <w:pPr>
        <w:tabs>
          <w:tab w:val="num" w:pos="3833"/>
        </w:tabs>
        <w:ind w:left="3833" w:hanging="480"/>
      </w:pPr>
    </w:lvl>
    <w:lvl w:ilvl="7">
      <w:start w:val="1"/>
      <w:numFmt w:val="ideographTraditional"/>
      <w:lvlText w:val="%8、"/>
      <w:lvlJc w:val="left"/>
      <w:pPr>
        <w:tabs>
          <w:tab w:val="num" w:pos="4313"/>
        </w:tabs>
        <w:ind w:left="4313" w:hanging="480"/>
      </w:pPr>
    </w:lvl>
    <w:lvl w:ilvl="8">
      <w:start w:val="1"/>
      <w:numFmt w:val="lowerRoman"/>
      <w:lvlText w:val="%9."/>
      <w:lvlJc w:val="right"/>
      <w:pPr>
        <w:tabs>
          <w:tab w:val="num" w:pos="4793"/>
        </w:tabs>
        <w:ind w:left="4793" w:hanging="0"/>
      </w:pPr>
    </w:lvl>
  </w:abstractNum>
  <w:abstractNum w:abstractNumId="3">
    <w:lvl w:ilvl="0">
      <w:start w:val="1"/>
      <w:numFmt w:val="decimal"/>
      <w:lvlText w:val="%1、"/>
      <w:lvlJc w:val="left"/>
      <w:pPr>
        <w:tabs>
          <w:tab w:val="num" w:pos="1433"/>
        </w:tabs>
        <w:ind w:left="1433" w:hanging="480"/>
      </w:pPr>
    </w:lvl>
    <w:lvl w:ilvl="1">
      <w:start w:val="1"/>
      <w:numFmt w:val="ideographTraditional"/>
      <w:lvlText w:val="%2、"/>
      <w:lvlJc w:val="left"/>
      <w:pPr>
        <w:tabs>
          <w:tab w:val="num" w:pos="1433"/>
        </w:tabs>
        <w:ind w:left="1433" w:hanging="480"/>
      </w:pPr>
    </w:lvl>
    <w:lvl w:ilvl="2">
      <w:start w:val="1"/>
      <w:numFmt w:val="lowerRoman"/>
      <w:lvlText w:val="%3."/>
      <w:lvlJc w:val="right"/>
      <w:pPr>
        <w:tabs>
          <w:tab w:val="num" w:pos="1913"/>
        </w:tabs>
        <w:ind w:left="1913" w:hanging="0"/>
      </w:pPr>
    </w:lvl>
    <w:lvl w:ilvl="3">
      <w:start w:val="1"/>
      <w:numFmt w:val="decimal"/>
      <w:lvlText w:val="%4."/>
      <w:lvlJc w:val="left"/>
      <w:pPr>
        <w:tabs>
          <w:tab w:val="num" w:pos="2393"/>
        </w:tabs>
        <w:ind w:left="2393" w:hanging="480"/>
      </w:pPr>
    </w:lvl>
    <w:lvl w:ilvl="4">
      <w:start w:val="1"/>
      <w:numFmt w:val="ideographTraditional"/>
      <w:lvlText w:val="%5、"/>
      <w:lvlJc w:val="left"/>
      <w:pPr>
        <w:tabs>
          <w:tab w:val="num" w:pos="2873"/>
        </w:tabs>
        <w:ind w:left="2873" w:hanging="480"/>
      </w:pPr>
    </w:lvl>
    <w:lvl w:ilvl="5">
      <w:start w:val="1"/>
      <w:numFmt w:val="lowerRoman"/>
      <w:lvlText w:val="%6."/>
      <w:lvlJc w:val="right"/>
      <w:pPr>
        <w:tabs>
          <w:tab w:val="num" w:pos="3353"/>
        </w:tabs>
        <w:ind w:left="3353" w:hanging="0"/>
      </w:pPr>
    </w:lvl>
    <w:lvl w:ilvl="6">
      <w:start w:val="1"/>
      <w:numFmt w:val="decimal"/>
      <w:lvlText w:val="%7."/>
      <w:lvlJc w:val="left"/>
      <w:pPr>
        <w:tabs>
          <w:tab w:val="num" w:pos="3833"/>
        </w:tabs>
        <w:ind w:left="3833" w:hanging="480"/>
      </w:pPr>
    </w:lvl>
    <w:lvl w:ilvl="7">
      <w:start w:val="1"/>
      <w:numFmt w:val="ideographTraditional"/>
      <w:lvlText w:val="%8、"/>
      <w:lvlJc w:val="left"/>
      <w:pPr>
        <w:tabs>
          <w:tab w:val="num" w:pos="4313"/>
        </w:tabs>
        <w:ind w:left="4313" w:hanging="480"/>
      </w:pPr>
    </w:lvl>
    <w:lvl w:ilvl="8">
      <w:start w:val="1"/>
      <w:numFmt w:val="lowerRoman"/>
      <w:lvlText w:val="%9."/>
      <w:lvlJc w:val="right"/>
      <w:pPr>
        <w:tabs>
          <w:tab w:val="num" w:pos="4793"/>
        </w:tabs>
        <w:ind w:left="4793" w:hanging="0"/>
      </w:pPr>
    </w:lvl>
  </w:abstractNum>
  <w:abstractNum w:abstractNumId="4">
    <w:lvl w:ilvl="0">
      <w:start w:val="1"/>
      <w:numFmt w:val="decimal"/>
      <w:lvlText w:val="%1."/>
      <w:lvlJc w:val="left"/>
      <w:pPr>
        <w:tabs>
          <w:tab w:val="num" w:pos="740"/>
        </w:tabs>
        <w:ind w:left="740" w:hanging="480"/>
      </w:pPr>
    </w:lvl>
    <w:lvl w:ilvl="1">
      <w:start w:val="1"/>
      <w:numFmt w:val="bullet"/>
      <w:lvlText w:val=""/>
      <w:lvlJc w:val="left"/>
      <w:pPr>
        <w:tabs>
          <w:tab w:val="num" w:pos="1220"/>
        </w:tabs>
        <w:ind w:left="1220" w:hanging="480"/>
      </w:pPr>
      <w:rPr>
        <w:rFonts w:ascii="Wingdings" w:hAnsi="Wingdings" w:cs="Wingdings" w:hint="default"/>
      </w:rPr>
    </w:lvl>
    <w:lvl w:ilvl="2">
      <w:start w:val="1"/>
      <w:numFmt w:val="decimal"/>
      <w:lvlText w:val="%3、"/>
      <w:lvlJc w:val="left"/>
      <w:pPr>
        <w:tabs>
          <w:tab w:val="num" w:pos="1940"/>
        </w:tabs>
        <w:ind w:left="1940" w:hanging="720"/>
      </w:pPr>
    </w:lvl>
    <w:lvl w:ilvl="3">
      <w:start w:val="1"/>
      <w:numFmt w:val="decimal"/>
      <w:lvlText w:val="%4."/>
      <w:lvlJc w:val="left"/>
      <w:pPr>
        <w:tabs>
          <w:tab w:val="num" w:pos="2180"/>
        </w:tabs>
        <w:ind w:left="2180" w:hanging="480"/>
      </w:pPr>
    </w:lvl>
    <w:lvl w:ilvl="4">
      <w:start w:val="1"/>
      <w:numFmt w:val="ideographTraditional"/>
      <w:lvlText w:val="%5、"/>
      <w:lvlJc w:val="left"/>
      <w:pPr>
        <w:tabs>
          <w:tab w:val="num" w:pos="2660"/>
        </w:tabs>
        <w:ind w:left="2660" w:hanging="480"/>
      </w:pPr>
    </w:lvl>
    <w:lvl w:ilvl="5">
      <w:start w:val="1"/>
      <w:numFmt w:val="lowerRoman"/>
      <w:lvlText w:val="%6."/>
      <w:lvlJc w:val="right"/>
      <w:pPr>
        <w:tabs>
          <w:tab w:val="num" w:pos="3140"/>
        </w:tabs>
        <w:ind w:left="3140" w:hanging="0"/>
      </w:pPr>
    </w:lvl>
    <w:lvl w:ilvl="6">
      <w:start w:val="1"/>
      <w:numFmt w:val="decimal"/>
      <w:lvlText w:val="%7."/>
      <w:lvlJc w:val="left"/>
      <w:pPr>
        <w:tabs>
          <w:tab w:val="num" w:pos="3620"/>
        </w:tabs>
        <w:ind w:left="3620" w:hanging="480"/>
      </w:pPr>
    </w:lvl>
    <w:lvl w:ilvl="7">
      <w:start w:val="1"/>
      <w:numFmt w:val="ideographTraditional"/>
      <w:lvlText w:val="%8、"/>
      <w:lvlJc w:val="left"/>
      <w:pPr>
        <w:tabs>
          <w:tab w:val="num" w:pos="4100"/>
        </w:tabs>
        <w:ind w:left="4100" w:hanging="480"/>
      </w:pPr>
    </w:lvl>
    <w:lvl w:ilvl="8">
      <w:start w:val="1"/>
      <w:numFmt w:val="lowerRoman"/>
      <w:lvlText w:val="%9."/>
      <w:lvlJc w:val="right"/>
      <w:pPr>
        <w:tabs>
          <w:tab w:val="num" w:pos="4580"/>
        </w:tabs>
        <w:ind w:left="4580"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強調斜體"/>
    <w:qFormat/>
    <w:rPr>
      <w:i/>
      <w:iCs/>
    </w:rPr>
  </w:style>
  <w:style w:type="character" w:styleId="Style16">
    <w:name w:val="超連結"/>
    <w:qFormat/>
    <w:rPr>
      <w:color w:val="0000FF"/>
      <w:u w:val="single"/>
    </w:rPr>
  </w:style>
  <w:style w:type="character" w:styleId="Style17">
    <w:name w:val="頁首 字元"/>
    <w:qFormat/>
    <w:rPr/>
  </w:style>
  <w:style w:type="character" w:styleId="Style18">
    <w:name w:val="頁尾 字元"/>
    <w:qFormat/>
    <w:rPr/>
  </w:style>
  <w:style w:type="character" w:styleId="Style19">
    <w:name w:val="註解方塊文字 字元"/>
    <w:qFormat/>
    <w:rPr>
      <w:rFonts w:ascii="Cambria" w:hAnsi="Cambria" w:eastAsia="新細明體" w:cs="Times New Roman"/>
      <w:sz w:val="18"/>
      <w:szCs w:val="18"/>
    </w:rPr>
  </w:style>
  <w:style w:type="character" w:styleId="WWCharLFO1LVL2">
    <w:name w:val="WW_CharLFO1LVL2"/>
    <w:qFormat/>
    <w:rPr>
      <w:rFonts w:ascii="Wingdings" w:hAnsi="Wingdings"/>
    </w:rPr>
  </w:style>
  <w:style w:type="character" w:styleId="WWCharLFO4LVL1">
    <w:name w:val="WW_CharLFO4LVL1"/>
    <w:qFormat/>
    <w:rPr>
      <w:rFonts w:ascii="Wingdings" w:hAnsi="Wingdings"/>
    </w:rPr>
  </w:style>
  <w:style w:type="character" w:styleId="WWCharLFO4LVL2">
    <w:name w:val="WW_CharLFO4LVL2"/>
    <w:qFormat/>
    <w:rPr>
      <w:rFonts w:ascii="Wingdings" w:hAnsi="Wingdings"/>
    </w:rPr>
  </w:style>
  <w:style w:type="character" w:styleId="WWCharLFO4LVL3">
    <w:name w:val="WW_CharLFO4LVL3"/>
    <w:qFormat/>
    <w:rPr>
      <w:rFonts w:ascii="Wingdings" w:hAnsi="Wingdings"/>
    </w:rPr>
  </w:style>
  <w:style w:type="character" w:styleId="WWCharLFO4LVL4">
    <w:name w:val="WW_CharLFO4LVL4"/>
    <w:qFormat/>
    <w:rPr>
      <w:rFonts w:ascii="Wingdings" w:hAnsi="Wingdings"/>
    </w:rPr>
  </w:style>
  <w:style w:type="character" w:styleId="WWCharLFO4LVL5">
    <w:name w:val="WW_CharLFO4LVL5"/>
    <w:qFormat/>
    <w:rPr>
      <w:rFonts w:ascii="Wingdings" w:hAnsi="Wingdings"/>
    </w:rPr>
  </w:style>
  <w:style w:type="character" w:styleId="WWCharLFO4LVL6">
    <w:name w:val="WW_CharLFO4LVL6"/>
    <w:qFormat/>
    <w:rPr>
      <w:rFonts w:ascii="Wingdings" w:hAnsi="Wingdings"/>
    </w:rPr>
  </w:style>
  <w:style w:type="character" w:styleId="WWCharLFO4LVL7">
    <w:name w:val="WW_CharLFO4LVL7"/>
    <w:qFormat/>
    <w:rPr>
      <w:rFonts w:ascii="Wingdings" w:hAnsi="Wingdings"/>
    </w:rPr>
  </w:style>
  <w:style w:type="character" w:styleId="WWCharLFO4LVL8">
    <w:name w:val="WW_CharLFO4LVL8"/>
    <w:qFormat/>
    <w:rPr>
      <w:rFonts w:ascii="Wingdings" w:hAnsi="Wingdings"/>
    </w:rPr>
  </w:style>
  <w:style w:type="character" w:styleId="WWCharLFO4LVL9">
    <w:name w:val="WW_CharLFO4LVL9"/>
    <w:qFormat/>
    <w:rPr>
      <w:rFonts w:ascii="Wingdings" w:hAnsi="Wingdings"/>
    </w:rPr>
  </w:style>
  <w:style w:type="character" w:styleId="WWCharLFO5LVL1">
    <w:name w:val="WW_CharLFO5LVL1"/>
    <w:qFormat/>
    <w:rPr>
      <w:rFonts w:ascii="Wingdings" w:hAnsi="Wingdings"/>
    </w:rPr>
  </w:style>
  <w:style w:type="character" w:styleId="WWCharLFO5LVL2">
    <w:name w:val="WW_CharLFO5LVL2"/>
    <w:qFormat/>
    <w:rPr>
      <w:rFonts w:ascii="Wingdings" w:hAnsi="Wingdings"/>
    </w:rPr>
  </w:style>
  <w:style w:type="character" w:styleId="WWCharLFO5LVL3">
    <w:name w:val="WW_CharLFO5LVL3"/>
    <w:qFormat/>
    <w:rPr>
      <w:rFonts w:ascii="Wingdings" w:hAnsi="Wingdings"/>
    </w:rPr>
  </w:style>
  <w:style w:type="character" w:styleId="WWCharLFO5LVL4">
    <w:name w:val="WW_CharLFO5LVL4"/>
    <w:qFormat/>
    <w:rPr>
      <w:rFonts w:ascii="Wingdings" w:hAnsi="Wingdings"/>
    </w:rPr>
  </w:style>
  <w:style w:type="character" w:styleId="WWCharLFO5LVL5">
    <w:name w:val="WW_CharLFO5LVL5"/>
    <w:qFormat/>
    <w:rPr>
      <w:rFonts w:ascii="Wingdings" w:hAnsi="Wingdings"/>
    </w:rPr>
  </w:style>
  <w:style w:type="character" w:styleId="WWCharLFO5LVL6">
    <w:name w:val="WW_CharLFO5LVL6"/>
    <w:qFormat/>
    <w:rPr>
      <w:rFonts w:ascii="Wingdings" w:hAnsi="Wingdings"/>
    </w:rPr>
  </w:style>
  <w:style w:type="character" w:styleId="WWCharLFO5LVL7">
    <w:name w:val="WW_CharLFO5LVL7"/>
    <w:qFormat/>
    <w:rPr>
      <w:rFonts w:ascii="Wingdings" w:hAnsi="Wingdings"/>
    </w:rPr>
  </w:style>
  <w:style w:type="character" w:styleId="WWCharLFO5LVL8">
    <w:name w:val="WW_CharLFO5LVL8"/>
    <w:qFormat/>
    <w:rPr>
      <w:rFonts w:ascii="Wingdings" w:hAnsi="Wingdings"/>
    </w:rPr>
  </w:style>
  <w:style w:type="character" w:styleId="WWCharLFO5LVL9">
    <w:name w:val="WW_CharLFO5LVL9"/>
    <w:qFormat/>
    <w:rPr>
      <w:rFonts w:ascii="Wingdings" w:hAnsi="Wingdings"/>
    </w:rPr>
  </w:style>
  <w:style w:type="character" w:styleId="WWCharLFO6LVL1">
    <w:name w:val="WW_CharLFO6LVL1"/>
    <w:qFormat/>
    <w:rPr>
      <w:rFonts w:ascii="Wingdings" w:hAnsi="Wingdings"/>
    </w:rPr>
  </w:style>
  <w:style w:type="character" w:styleId="WWCharLFO6LVL2">
    <w:name w:val="WW_CharLFO6LVL2"/>
    <w:qFormat/>
    <w:rPr>
      <w:rFonts w:ascii="Wingdings" w:hAnsi="Wingdings"/>
    </w:rPr>
  </w:style>
  <w:style w:type="character" w:styleId="WWCharLFO6LVL3">
    <w:name w:val="WW_CharLFO6LVL3"/>
    <w:qFormat/>
    <w:rPr>
      <w:rFonts w:ascii="Wingdings" w:hAnsi="Wingdings"/>
    </w:rPr>
  </w:style>
  <w:style w:type="character" w:styleId="WWCharLFO6LVL4">
    <w:name w:val="WW_CharLFO6LVL4"/>
    <w:qFormat/>
    <w:rPr>
      <w:rFonts w:ascii="Wingdings" w:hAnsi="Wingdings"/>
    </w:rPr>
  </w:style>
  <w:style w:type="character" w:styleId="WWCharLFO6LVL5">
    <w:name w:val="WW_CharLFO6LVL5"/>
    <w:qFormat/>
    <w:rPr>
      <w:rFonts w:ascii="Wingdings" w:hAnsi="Wingdings"/>
    </w:rPr>
  </w:style>
  <w:style w:type="character" w:styleId="WWCharLFO6LVL6">
    <w:name w:val="WW_CharLFO6LVL6"/>
    <w:qFormat/>
    <w:rPr>
      <w:rFonts w:ascii="Wingdings" w:hAnsi="Wingdings"/>
    </w:rPr>
  </w:style>
  <w:style w:type="character" w:styleId="WWCharLFO6LVL7">
    <w:name w:val="WW_CharLFO6LVL7"/>
    <w:qFormat/>
    <w:rPr>
      <w:rFonts w:ascii="Wingdings" w:hAnsi="Wingdings"/>
    </w:rPr>
  </w:style>
  <w:style w:type="character" w:styleId="WWCharLFO6LVL8">
    <w:name w:val="WW_CharLFO6LVL8"/>
    <w:qFormat/>
    <w:rPr>
      <w:rFonts w:ascii="Wingdings" w:hAnsi="Wingdings"/>
    </w:rPr>
  </w:style>
  <w:style w:type="character" w:styleId="WWCharLFO6LVL9">
    <w:name w:val="WW_CharLFO6LVL9"/>
    <w:qFormat/>
    <w:rPr>
      <w:rFonts w:ascii="Wingdings" w:hAnsi="Wingdings"/>
    </w:rPr>
  </w:style>
  <w:style w:type="character" w:styleId="Style20">
    <w:name w:val="網際網路連結"/>
    <w:rPr>
      <w:color w:val="000080"/>
      <w:u w:val="single"/>
      <w:lang w:val="zxx" w:eastAsia="zxx" w:bidi="zxx"/>
    </w:rPr>
  </w:style>
  <w:style w:type="paragraph" w:styleId="Style21">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22">
    <w:name w:val="Header"/>
    <w:basedOn w:val="Style21"/>
    <w:pPr>
      <w:tabs>
        <w:tab w:val="center" w:pos="4153" w:leader="none"/>
        <w:tab w:val="right" w:pos="8306" w:leader="none"/>
      </w:tabs>
      <w:suppressAutoHyphens w:val="true"/>
      <w:snapToGrid w:val="false"/>
    </w:pPr>
    <w:rPr>
      <w:sz w:val="20"/>
      <w:szCs w:val="20"/>
    </w:rPr>
  </w:style>
  <w:style w:type="paragraph" w:styleId="Style23">
    <w:name w:val="Footer"/>
    <w:basedOn w:val="Style21"/>
    <w:pPr>
      <w:tabs>
        <w:tab w:val="center" w:pos="4153" w:leader="none"/>
        <w:tab w:val="right" w:pos="8306" w:leader="none"/>
      </w:tabs>
      <w:suppressAutoHyphens w:val="true"/>
      <w:snapToGrid w:val="false"/>
    </w:pPr>
    <w:rPr>
      <w:sz w:val="20"/>
      <w:szCs w:val="20"/>
    </w:rPr>
  </w:style>
  <w:style w:type="paragraph" w:styleId="Style24">
    <w:name w:val="註解方塊文字"/>
    <w:basedOn w:val="Style21"/>
    <w:qFormat/>
    <w:pPr>
      <w:suppressAutoHyphens w:val="true"/>
    </w:pPr>
    <w:rPr>
      <w:rFonts w:ascii="Cambria" w:hAnsi="Cambria"/>
      <w:sz w:val="18"/>
      <w:szCs w:val="18"/>
    </w:rPr>
  </w:style>
  <w:style w:type="paragraph" w:styleId="Style25">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35HiWv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NDC_ODF_Application_Tools/1.0.3$Windows_X86_64 LibreOffice_project/8ad3e16aadc5e73175a2d44b1abec8638aa18880</Application>
  <Pages>4</Pages>
  <Words>387</Words>
  <Characters>2212</Characters>
  <CharactersWithSpaces>2594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2020-10-30T07:38:00Z</dcterms:created>
  <dc:creator>sherry</dc:creator>
  <dc:description/>
  <dc:language>zh-TW</dc:language>
  <cp:lastModifiedBy>USER</cp:lastModifiedBy>
  <cp:lastPrinted>2019-10-28T01:47:00Z</cp:lastPrinted>
  <dcterms:modified xsi:type="dcterms:W3CDTF">2020-10-30T07:38:00Z</dcterms:modified>
  <cp:revision>2</cp:revision>
  <dc:subject/>
  <dc:title>教育部普通高級中學課程物理學科中心</dc:title>
</cp:coreProperties>
</file>